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17   มิถุนายน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"โครงการเสริมประสบการณ์จริง ภาคปลาย 2568"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โครงการเสริมประสบการณ์จริง ภาคปลาย 2568 ตั้งแต่ 9 กุมภาพันธ์ 2569 ถึง 31 มีนาคม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เพื่อเสริมสร้างประสบการณ์จริงด้านการจัดการโรงแรมให้แก่นิสิต 2. เพื่อให้นิสิตเข้าใจระบบการทำงานและมาตรฐานวิชาชีพในธุรกิจโรงแรม 3. เพื่อเชื่อมโยงความรู้ทางทฤษฎีกับการปฏิบัติจริง และมีกลุ่มเป้าหมาย 168 คน ใช้เงินของหน่วยงาน หลักสูตรการจัดการโรงแรมและท่องเที่ยว เป็นจำนวนเงิน 55,000 บาท (ห้าหมื่นห้าพันบาทถ้วน)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โครงการเสริมประสบการณ์จริง ภาคปลาย 2568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สาขาวิชาการจัดการโรงแรมเป็นสาขาที่ต้องอาศัยทั้งความรู้ทางทฤษฎีและทักษะเชิงปฏิบัติ โดยเฉพาะทักษะการบริการ ทักษะวิชาชีพเฉพาะ การแก้ไขปัญหาเฉพาะหน้า และการทำงานร่วมกับผู้อื่นอย่างมืออาชีพ การเรียนการสอนในชั้นเรียนเพียงอย่างเดียวอาจไม่เพียงพอในการสร้างประสบการณ์จริงให้แก่นิสิต ดังนั้น การจัดโครงการเสริมประสบการณ์จริงจึงมีความสำคัญ เพื่อเปิดโอกาสให้นิสิตได้เรียนรู้จากสถานการณ์จริงในธุรกิจโรงแรมและการบริการ ผ่านการฝึกปฏิบัติ การบรรยายจากผู้เชี่ยวชาญ และการทำกิจกรรมเชิงปฏิบัติ (Workshop) ซึ่งจะช่วยพัฒนาทักษะวิชาชีพ เจตคติที่ดีต่อการทำงาน และเตรียมความพร้อมในการเข้าสู่ตลาดแรงงานในอนาคต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A8"/>
           โครงการต่อเนื่อง 
          <w:sym w:font="Wingdings" w:char="F0FE"/>
           โครงการใหม่
        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2"/>
      </w:pPr>
      <w:r>
        <w:rPr>
          <w:rStyle w:val="rStyle1"/>
        </w:rPr>
        <w:t xml:space="preserve">	1. เพื่อเสริมสร้างประสบการณ์จริงด้านการจัดการโรงแรมให้แก่นิสิต</w:t>
      </w:r>
    </w:p>
    <w:p>
      <w:pPr>
        <w:pStyle w:val="pStyle2"/>
      </w:pPr>
      <w:r>
        <w:rPr>
          <w:rStyle w:val="rStyle1"/>
        </w:rPr>
        <w:t xml:space="preserve">	2. เพื่อให้นิสิตเข้าใจระบบการทำงานและมาตรฐานวิชาชีพในธุรกิจโรงแรม</w:t>
      </w:r>
    </w:p>
    <w:p>
      <w:pPr>
        <w:pStyle w:val="pStyle1"/>
      </w:pPr>
      <w:r>
        <w:rPr>
          <w:rStyle w:val="rStyle1"/>
        </w:rPr>
        <w:t xml:space="preserve">	3. เพื่อเชื่อมโยงความรู้ทางทฤษฎีกับการปฏิบัติจริง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(3 คน)</w:t>
      </w:r>
    </w:p>
    <w:p>
      <w:pPr>
        <w:pStyle w:val="pStyle2"/>
      </w:pPr>
      <w:r>
        <w:rPr>
          <w:rStyle w:val="rStyle1"/>
        </w:rPr>
        <w:t xml:space="preserve">	นิสิต (165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2, 3</w:t>
      </w:r>
    </w:p>
    <w:p>
      <w:pPr>
        <w:pStyle w:val="pStyle2"/>
      </w:pPr>
      <w:r>
        <w:rPr>
          <w:rStyle w:val="rStyle1"/>
        </w:rPr>
        <w:t xml:space="preserve">		 - หลักสูตรการจัดการโรงแรมและท่องเที่ยว (ภาคปกติ) 	 จำนวน 130 คน</w:t>
      </w:r>
    </w:p>
    <w:p>
      <w:pPr>
        <w:pStyle w:val="pStyle2"/>
      </w:pPr>
      <w:r>
        <w:rPr>
          <w:rStyle w:val="rStyle1"/>
        </w:rPr>
        <w:t xml:space="preserve">		 - หลักสูตรการจัดการโรงแรมและท่องเที่ยว (ภาคพิเศษ) 	 จำนวน 130 คน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1.วางแผนและประสานงานกับวิทยากร
          <w:br/>
          <w:br/>
          2.จัดตารางกิจกรรมและแจ้งนิสิตเข้าร่วมโครงการ
          <w:br/>
          <w:br/>
          3.ดำเนินกิจกรรมตามแผนที่กำหนด
          <w:br/>
          <w:br/>
          4.ประเมินผลและสรุปรายงานผลการดำเนินโครงการ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หลักสูตรการจัดการโรงแรมและท่องเที่ยว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ปิยธิดา กังวานสิทธิ์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อรรธิกา พังงา</w:t>
      </w:r>
      <w:r>
        <w:rPr>
          <w:rStyle w:val="rStyle1"/>
        </w:rPr>
        <w:t xml:space="preserve"> / </w:t>
      </w:r>
      <w:r>
        <w:rPr>
          <w:rStyle w:val="rStyle1"/>
        </w:rPr>
        <w:t xml:space="preserve">ภัทรภร จิรมหาโภคา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9 กุมภาพันธ์ 2569 สิ้นสุด 31 มีนาคม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ค่าตอบแทนวิทยากรบรรยาย (1,000 บาท x 6 ชม. x 1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6,000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ค่าอาหารกลางวันและเครื่องดื่มของนิสิต (120 บาท x 1 มื้อ x 165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19,800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ค่าอาหารว่างและเครื่องดื่มของนิสิต (60 บาท x 2 มื้อ x 165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19,800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4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ค่าวัสดุที่ใช้ในโครงการ เช่น นม เมล็ดกาแฟ ไซรัป ฯลฯ 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9,400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55,000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นิสิตมีความรู้และประสบการณ์จริงด้านการจัดการโรงแรมเพิ่มขึ้น</w:t>
      </w:r>
    </w:p>
    <w:p>
      <w:pPr>
        <w:pStyle w:val="pStyle2"/>
      </w:pPr>
      <w:r>
        <w:rPr>
          <w:rStyle w:val="rStyle1"/>
        </w:rPr>
        <w:t xml:space="preserve">	2. นิสิตสามารถนำความรู้ไปประยุกต์ใช้ในการเรียน การฝึกงาน และการทำงานจริง</w:t>
      </w:r>
    </w:p>
    <w:p>
      <w:pPr>
        <w:pStyle w:val="pStyle1"/>
      </w:pPr>
      <w:r>
        <w:rPr>
          <w:rStyle w:val="rStyle1"/>
        </w:rPr>
        <w:t xml:space="preserve">	3. นิสิตมีทักษะวิชาชีพและทัศนคติที่เหมาะสมต่อการทำงานด้านการบริการ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จำนวนของผู้เข้าร่วมโครงการ ไม่เกิน165 คน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14.2.1 การจัดทำแบบทดสอบก่อนและหลัง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FE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การจัดสรรงานประมาณที่มีอยู่อย่างจำกัด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วางแผนการใช้งบประมาณให้เพียงพอโดยการถัวเฉลี่ย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2026-06-17T04:55:18+07:00</dcterms:created>
  <dcterms:modified xsi:type="dcterms:W3CDTF">2026-06-17T04:55:18+07:00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