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000" w:type="dxa"/>
        <w:gridCol w:w="8000" w:type="dxa"/>
      </w:tblGrid>
      <w:tr>
        <w:trPr>
          <w:trHeight w:val="200" w:hRule="atLeast"/>
        </w:trPr>
        <w:tc>
          <w:tcPr>
            <w:tcW w:w="2000" w:type="dxa"/>
          </w:tcPr>
          <w:p>
            <w:pPr>
              <w:jc w:val="center"/>
            </w:pPr>
            <w:r>
              <w:pict>
                <v:shape type="#_x0000_t75" stroked="f" style="width:70pt; height:70.588235294118pt; margin-left:0pt; margin-top:0pt; mso-position-horizontal:left; mso-position-vertical:top; mso-position-horizontal-relative:char; mso-position-vertical-relative:line;">
                  <w10:wrap type="inline"/>
                  <v:imagedata r:id="rId7" o:title=""/>
                </v:shape>
              </w:pict>
            </w:r>
          </w:p>
        </w:tc>
        <w:tc>
          <w:tcPr>
            <w:tcW w:w="8000" w:type="dxa"/>
          </w:tcPr>
          <w:p>
            <w:pPr>
              <w:pStyle w:val="tCStyle"/>
            </w:pPr>
            <w:r>
              <w:rPr>
                <w:rStyle w:val="rhStyle"/>
              </w:rPr>
              <w:t xml:space="preserve">บันทึกข้อความ</w:t>
            </w:r>
          </w:p>
        </w:tc>
      </w:tr>
    </w:tbl>
    <w:p>
      <w:pPr/>
      <w:r>
        <w:rPr>
          <w:rStyle w:val="rStyle"/>
        </w:rPr>
        <w:t xml:space="preserve">ส่วนงาน</w:t>
      </w:r>
      <w:r>
        <w:rPr>
          <w:rStyle w:val="rStyle1"/>
        </w:rPr>
        <w:t xml:space="preserve"> คณะวิทยาการจัดการ มหาวิทยาลัยเกษตรศาสตร์ วิทยาเขตศรีราชา โทร 661141-42</w:t>
      </w:r>
    </w:p>
    <w:p>
      <w:pPr/>
      <w:r>
        <w:rPr>
          <w:rStyle w:val="rStyle"/>
        </w:rPr>
        <w:t xml:space="preserve">ที่</w:t>
      </w:r>
      <w:r>
        <w:rPr>
          <w:rStyle w:val="rStyle1"/>
        </w:rPr>
        <w:t xml:space="preserve">          อว 6503.03/</w:t>
      </w:r>
      <w:r>
        <w:rPr/>
        <w:t xml:space="preserve">                                             </w:t>
      </w:r>
      <w:r>
        <w:rPr>
          <w:rStyle w:val="rStyle"/>
        </w:rPr>
        <w:t xml:space="preserve">วันที่    </w:t>
      </w:r>
      <w:r>
        <w:rPr>
          <w:rStyle w:val="rStyle1"/>
        </w:rPr>
        <w:t xml:space="preserve">11   กันยายน   2569</w:t>
      </w:r>
    </w:p>
    <w:p>
      <w:pPr/>
      <w:r>
        <w:rPr>
          <w:rStyle w:val="rStyle"/>
        </w:rPr>
        <w:t xml:space="preserve">เรื่อง</w:t>
      </w:r>
      <w:r>
        <w:rPr>
          <w:rStyle w:val="rStyle1"/>
        </w:rPr>
        <w:t xml:space="preserve">      ขออนุมัติหลักการ "โครงการวารสารวิทยาการจัดการ มหาวิทยาลัยเกษตรศาสตร์ ประจำปีงบประมาณ 2569"</w:t>
      </w:r>
    </w:p>
    <w:p>
      <w:pPr/>
      <w:r>
        <w:pict>
          <v:shape id="_x0000_s1006" type="#_x0000_t32" style="width:600pt; height:0pt; margin-left:0pt; margin-top:0pt; position:absolute; mso-position-horizontal:left; mso-position-vertical:top; mso-position-horizontal-relative:char; mso-position-vertical-relative:line;">
            <w10:wrap type="inline" anchorx="page" anchory="page"/>
            <v:stroke weight="1pt"/>
          </v:shape>
        </w:pict>
      </w:r>
    </w:p>
    <w:p>
      <w:pPr/>
      <w:r>
        <w:rPr>
          <w:rStyle w:val="rStyle"/>
        </w:rPr>
        <w:t xml:space="preserve">เรียน</w:t>
      </w:r>
      <w:r>
        <w:rPr>
          <w:rStyle w:val="rStyle1"/>
        </w:rPr>
        <w:t xml:space="preserve">      คณบดีคณะวิทยาการจัดการ</w:t>
      </w:r>
    </w:p>
    <w:p>
      <w:pPr>
        <w:pStyle w:val="pStyle1"/>
      </w:pPr>
      <w:r>
        <w:rPr>
          <w:rStyle w:val="rStyle1"/>
        </w:rPr>
        <w:t xml:space="preserve">            ด้วยคณะวิทยาการจัดการ กำหนดจัด โครงการวารสารวิทยาการจัดการ มหาวิทยาลัยเกษตรศาสตร์ ประจำปีงบประมาณ 2569 ตั้งแต่ 1 ตุลาคม 2568 ถึง 30 กันยายน 2569 ตามเอกสารข้อเสนอโครงการแนบ</w:t>
      </w:r>
    </w:p>
    <w:p>
      <w:pPr>
        <w:pStyle w:val="pStyle1"/>
      </w:pPr>
      <w:r>
        <w:rPr>
          <w:rStyle w:val="rStyle1"/>
        </w:rPr>
        <w:t xml:space="preserve">            ในการนี้จึงใคร่ขออนุมัติหลักการ เพื่อจัดโครงการดังกล่าว ฯ โดยใช้เงินงบประมาณรายได้ปี 2569 มีวัตถุประสงค์ดังนี้  1. เพื่อเผยแพร่ผลงานทางวิชาการ ผลงานวิจัย และความรู้ในสาขาวิชาบริหารธุรกิจ ได้แก่ การจัดการ การตลาด ธุรกิจระหว่างประเทศ การโรงแรมและการท่องเที่ยว การบัญชี การจัดการโลจิสติกส์ การเงิน และการลงทุน เศรษฐศาสตร์ ภาษาอังกฤษธุรกิจ การวิเคราะห์ธุรกิจ ของอาจารย์ นักวิจัย นิสิต นักศึกษา และผู้สนใจทั่วไป  2. เพื่อสร้างเครือข่ายและพัฒนาองค์ความรู้เชิงวิชาการ และเชิงประยุกต์ในสาขาวิชาบริหารธุรกิจ ได้แก่ การจัดการ การตลาด ธุรกิจระหว่างประเทศ การโรงแรมและการท่องเที่ยว การบัญชี การจัดการโลจิสติกส์ การเงินและการลงทุน เศรษฐศาสตร์ ภาษาอังกฤษธุรกิจ การวิเคราะห์ธุรกิจ และมีกลุ่มเป้าหมาย 0 คน ใช้เงินของหน่วยงาน คณะทำงานจัดทำวารสารวิชาการคณะวิทยาการจัดการ เป็นจำนวนเงิน 128,000 บาท (หนึ่งแสนสองหมื่นแปดพันบาทถ้วน)</w:t>
      </w:r>
    </w:p>
    <w:p>
      <w:pPr>
        <w:pStyle w:val="pStyle3"/>
      </w:pPr>
      <w:r>
        <w:rPr>
          <w:rStyle w:val="rStyle1"/>
        </w:rPr>
        <w:t xml:space="preserve">            จึงเรียนมาเพื่อโปรดพิจารณาอนุมัติหลักการ</w:t>
      </w:r>
    </w:p>
    <w:p>
      <w:pPr>
        <w:pStyle w:val="pStyle2"/>
      </w:pPr>
      <w:r>
        <w:rPr>
          <w:rStyle w:val="rStyle1"/>
        </w:rPr>
        <w:t xml:space="preserve">                                                                             ()</w:t>
      </w:r>
    </w:p>
    <w:p>
      <w:pPr>
        <w:pStyle w:val="pStyle1"/>
      </w:pPr>
      <w:r>
        <w:rPr>
          <w:rStyle w:val="rStyle1"/>
        </w:rPr>
        <w:t xml:space="preserve">                                                                        ตำแหน่ง </w:t>
      </w:r>
    </w:p>
    <w:tbl>
      <w:tblGrid>
        <w:gridCol w:w="2600" w:type="dxa"/>
        <w:gridCol w:w="3200" w:type="dxa"/>
        <w:gridCol w:w="2500" w:type="dxa"/>
        <w:gridCol w:w="2300" w:type="dxa"/>
      </w:tblGrid>
      <w:tblPr>
        <w:tblStyle w:val="Fancy Table"/>
      </w:tblPr>
      <w:tr>
        <w:trPr>
          <w:trHeight w:val="200" w:hRule="atLeast"/>
        </w:trPr>
        <w:tc>
          <w:tcPr>
            <w:tcW w:w="2600" w:type="dxa"/>
            <w:vAlign w:val="top"/>
          </w:tcPr>
          <w:p>
            <w:pPr>
              <w:pStyle w:val="LeftStyle0"/>
            </w:pPr>
            <w:r>
              <w:rPr>
                <w:rStyle w:val="rStyle3"/>
              </w:rPr>
              <w:t xml:space="preserve">
                เรียน คณบดีคณะวิทยาการจัดการ
                <w:br/>
                เพื่อโปรดพิจารณา
                <w:br/>
                <w:br/>
                          ................................
                <w:br/>
                       หัวหน้า/ประธานหลักสูตร
                <w:br/>
                               ...../...../.....
              </w:t>
            </w:r>
          </w:p>
        </w:tc>
        <w:tc>
          <w:tcPr>
            <w:tcW w:w="3200" w:type="dxa"/>
            <w:vAlign w:val="top"/>
          </w:tcPr>
          <w:p>
            <w:pPr>
              <w:pStyle w:val="LeftStyle0"/>
            </w:pPr>
            <w:r>
              <w:rPr>
                <w:rStyle w:val="rStyle3"/>
              </w:rPr>
              <w:t xml:space="preserve">
                งานนโยบายและแผน
                <w:br/>
                ได้ตรวจสอบแล้ว..................
                <w:br/>
                <w:sym w:font="Wingdings" w:char="F0A8"/>
                 มีแผนการดำเนินงานประจำปีงบประมาณ
                <w:br/>
                หมวดงบประมาณในระบบ ERP
                <w:br/>
                หน่วยงาน..........................
                <w:br/>
                มิติโครงการ..........................
                <w:br/>
                งบคงเหลือ.........................บาท
                <w:br/>
                <w:sym w:font="Wingdings" w:char="F0A8"/>
                 ไม่มีแผนการดำเนินงานประจำปีงบประมาณ
                <w:br/>
                <w:br/>
                                    ...........................
                <w:br/>
                               นักวิเคราะห์นโยบายฯ
                <w:br/>
                                        ...../...../.....
              </w:t>
            </w:r>
          </w:p>
        </w:tc>
        <w:tc>
          <w:tcPr>
            <w:tcW w:w="2500" w:type="dxa"/>
            <w:vAlign w:val="top"/>
          </w:tcPr>
          <w:p>
            <w:pPr>
              <w:pStyle w:val="LeftStyle0"/>
            </w:pPr>
            <w:r>
              <w:rPr>
                <w:rStyle w:val="rStyle3"/>
              </w:rPr>
              <w:t xml:space="preserve">
                เรียน คณบดีคณะวิทยาการจัดการ
                <w:br/>
                เพื่อโปรดพิจารณา
                <w:br/>
                <w:sym w:font="Wingdings" w:char="F0A8"/>
                 เห็นสมควรอนุมัติ
                <w:br/>
                <w:sym w:font="Wingdings" w:char="F0A8"/>
                 เห็นควรให้มีการปรับปรุง รายละเอียดโครงการ/งบประมาณ ก่อนเสนอพิจารณาต่อไป
                <w:br/>
                <w:br/>
                <w:br/>
                     ......................................
                <w:br/>
                   (ผศ.ดร.อัควรรณ์  แสงวิภาค)
                <w:br/>
                 รองคณบดีฝ่ายบริหาร
                <w:br/>
                            ...../......./......
              </w:t>
            </w:r>
          </w:p>
        </w:tc>
        <w:tc>
          <w:tcPr>
            <w:tcW w:w="2300" w:type="dxa"/>
            <w:vAlign w:val="top"/>
          </w:tcPr>
          <w:p>
            <w:pPr>
              <w:pStyle w:val="tCStyle"/>
            </w:pPr>
            <w:r>
              <w:rPr>
                <w:rStyle w:val="rStyle3"/>
              </w:rPr>
              <w:t xml:space="preserve"/>
            </w:r>
          </w:p>
          <w:p>
            <w:pPr>
              <w:pStyle w:val="tCStyle"/>
            </w:pPr>
            <w:r>
              <w:rPr>
                <w:rStyle w:val="rStyle3"/>
              </w:rPr>
              <w:t xml:space="preserve"/>
            </w:r>
          </w:p>
          <w:p>
            <w:pPr>
              <w:pStyle w:val="tCStyle"/>
            </w:pPr>
            <w:r>
              <w:rPr>
                <w:rStyle w:val="rStyle4"/>
              </w:rPr>
              <w:t xml:space="preserve">อนุมัติหลักการ</w:t>
            </w:r>
          </w:p>
          <w:p>
            <w:pPr>
              <w:pStyle w:val="tCStyle"/>
            </w:pPr>
            <w:r>
              <w:rPr>
                <w:rStyle w:val="rStyle3"/>
              </w:rPr>
              <w:t xml:space="preserve"/>
            </w:r>
          </w:p>
          <w:p>
            <w:pPr>
              <w:pStyle w:val="tCStyle"/>
            </w:pPr>
            <w:r>
              <w:rPr>
                <w:rStyle w:val="rStyle3"/>
              </w:rPr>
              <w:t xml:space="preserve"/>
            </w:r>
          </w:p>
          <w:p>
            <w:pPr>
              <w:pStyle w:val="tCStyle"/>
            </w:pPr>
            <w:r>
              <w:rPr>
                <w:rStyle w:val="rStyle3"/>
              </w:rPr>
              <w:t xml:space="preserve"/>
            </w:r>
          </w:p>
          <w:p>
            <w:pPr>
              <w:pStyle w:val="tCStyle"/>
            </w:pPr>
            <w:r>
              <w:rPr>
                <w:rStyle w:val="rStyle3"/>
              </w:rPr>
              <w:t xml:space="preserve"/>
            </w:r>
          </w:p>
          <w:p>
            <w:pPr>
              <w:pStyle w:val="tCStyle"/>
            </w:pPr>
            <w:r>
              <w:rPr>
                <w:rStyle w:val="rStyle3"/>
              </w:rPr>
              <w:t xml:space="preserve"/>
            </w:r>
          </w:p>
          <w:p>
            <w:pPr>
              <w:pStyle w:val="tCStyle"/>
            </w:pPr>
            <w:r>
              <w:rPr>
                <w:rStyle w:val="rStyle3"/>
              </w:rPr>
              <w:t xml:space="preserve">......................................</w:t>
            </w:r>
          </w:p>
          <w:p>
            <w:pPr>
              <w:pStyle w:val="tCStyle"/>
            </w:pPr>
            <w:r>
              <w:rPr>
                <w:rStyle w:val="rStyle3"/>
              </w:rPr>
              <w:t xml:space="preserve">(ดร.จุมพฏ บริราช)</w:t>
            </w:r>
          </w:p>
          <w:p>
            <w:pPr>
              <w:pStyle w:val="tCStyle"/>
            </w:pPr>
            <w:r>
              <w:rPr>
                <w:rStyle w:val="rStyle3"/>
              </w:rPr>
              <w:t xml:space="preserve">คณบดีคณะวิทยาการจัดการ</w:t>
            </w:r>
          </w:p>
          <w:p>
            <w:pPr>
              <w:pStyle w:val="tCStyle"/>
            </w:pPr>
            <w:r>
              <w:rPr>
                <w:rStyle w:val="rStyle3"/>
              </w:rPr>
              <w:t xml:space="preserve">...../......./......</w:t>
            </w:r>
          </w:p>
        </w:tc>
      </w:tr>
    </w:tbl>
    <w:p>
      <w:r>
        <w:br w:type="page"/>
      </w:r>
    </w:p>
    <w:tbl>
      <w:tblGrid>
        <w:gridCol w:w="2000" w:type="dxa"/>
        <w:gridCol w:w="8000" w:type="dxa"/>
      </w:tblGrid>
      <w:tr>
        <w:trPr>
          <w:trHeight w:val="200" w:hRule="atLeast"/>
        </w:trPr>
        <w:tc>
          <w:tcPr>
            <w:tcW w:w="2000" w:type="dxa"/>
            <w:vAlign w:val="top"/>
          </w:tcPr>
          <w:p>
            <w:pPr>
              <w:jc w:val="center"/>
            </w:pPr>
            <w:r>
              <w:pict>
                <v:shape type="#_x0000_t75" stroked="f" style="width:70pt; height:70.588235294118pt; margin-left:0pt; margin-top:0pt; mso-position-horizontal:left; mso-position-vertical:top; mso-position-horizontal-relative:char; mso-position-vertical-relative:line;">
                  <w10:wrap type="inline"/>
                  <v:imagedata r:id="rId7" o:title=""/>
                </v:shape>
              </w:pict>
            </w:r>
          </w:p>
        </w:tc>
        <w:tc>
          <w:tcPr>
            <w:tcW w:w="8000" w:type="dxa"/>
            <w:vAlign w:val="top"/>
          </w:tcPr>
          <w:p>
            <w:pPr>
              <w:pStyle w:val="tCStyle"/>
            </w:pPr>
            <w:r>
              <w:rPr>
                <w:rStyle w:val="rStyle"/>
              </w:rPr>
              <w:t xml:space="preserve">
                โครงการ โครงการวารสารวิทยาการจัดการ มหาวิทยาลัยเกษตรศาสตร์ ประจำปีงบประมาณ 2569
                <w:br/>
                ประจำปีงบประมาณ 
              </w:t>
            </w:r>
          </w:p>
        </w:tc>
      </w:tr>
    </w:tbl>
    <w:p>
      <w:pPr>
        <w:pStyle w:val="Heading3"/>
      </w:pPr>
      <w:bookmarkStart w:id="1" w:name="_Toc1"/>
      <w:r>
        <w:t>1. หลักการและเหตุผล</w:t>
      </w:r>
      <w:bookmarkEnd w:id="1"/>
    </w:p>
    <w:p>
      <w:pPr>
        <w:pStyle w:val="pStyle1"/>
      </w:pPr>
      <w:r>
        <w:rPr>
          <w:rStyle w:val="rStyle1"/>
        </w:rPr>
        <w:t xml:space="preserve">	วารสารวิทยาการจัดการ เป็นวารสารที่คณะวิทยาการจัดการจัดทำขึ้น เพื่อเผยแพร่บทความวิชาการ (Academic Article) บทความวิจัย (Research Article) ทั้งภาษาไทย และภาษาอังกฤษที่สร้างและพัฒนาองค์ความรู้ใหม่    และมีคุณค่าทางวิชาการ สามารถใช้ประโยชน์ทั้งในเชิงทฤษฏีและเชิงปฏิบัติได้ โดยครอบคลุมงานวิชาการทางด้านการจัดการ การตลาด ธุรกิจระหว่างประเทศ การโรงแรมและการท่องเที่ยว การบัญชี การจัดการโลจิสติกส์ การเงิน และการลงทุน เศรษฐศาสตร์ ภาษาอังกฤษธุรกิจ การวิเคราะห์ธุรกิจ ทั้งนี้สอดคล้องกับการสนับสนุนภารกิจการดำเนินงานของหน่วยการวิจัยและบริการวิชาการด้านการสร้างเครือข่ายความร่วมมือด้านการวิจัยกับภาครัฐ ภาคเอกชน และสถาบันการศึกษาระดับนานาชาติ และสนับสนุนการเพิ่มขึ้นของผลงานวิจัยและงานวิชาการอื่นของบุคลากรคณะวิทยาการจัดการที่ได้รับการตีพิมพ์หรือเผยแพร่</w:t>
      </w:r>
    </w:p>
    <w:p>
      <w:pPr>
        <w:pStyle w:val="pStyle1"/>
      </w:pPr>
      <w:r>
        <w:rPr>
          <w:rStyle w:val="rStyle1"/>
        </w:rPr>
        <w:t xml:space="preserve">
          ลักษณะโครงการ 
          <w:sym w:font="Wingdings" w:char="F0FE"/>
           โครงการต่อเนื่อง 
          <w:sym w:font="Wingdings" w:char="F0A8"/>
           โครงการใหม่
        </w:t>
      </w:r>
    </w:p>
    <w:p>
      <w:pPr>
        <w:pStyle w:val="pStyle1"/>
      </w:pPr>
      <w:r>
        <w:rPr>
          <w:rStyle w:val="rStyle1"/>
        </w:rPr>
        <w:t xml:space="preserve">ปัญหาอุปสรรคและแนวทางการแก้ไขปัญหาในการจัดครั้งที่ผ่านมา</w:t>
      </w:r>
    </w:p>
    <w:p>
      <w:pPr>
        <w:pStyle w:val="Heading3"/>
      </w:pPr>
      <w:bookmarkStart w:id="2" w:name="_Toc2"/>
      <w:r>
        <w:t>2. สอดคล้องกับยุทธศาสตร์และเป้าประสงค์</w:t>
      </w:r>
      <w:bookmarkEnd w:id="2"/>
    </w:p>
    <w:tbl>
      <w:tblGrid>
        <w:gridCol w:w="2500" w:type="dxa"/>
        <w:gridCol w:w="2500" w:type="dxa"/>
        <w:gridCol w:w="2500" w:type="dxa"/>
        <w:gridCol w:w="2500" w:type="dxa"/>
      </w:tblGrid>
      <w:tblPr>
        <w:tblStyle w:val="Fancy Table"/>
      </w:tblPr>
      <w:tr>
        <w:trPr>
          <w:trHeight w:val="200" w:hRule="atLeast"/>
        </w:trPr>
        <w:tc>
          <w:tcPr>
            <w:tcW w:w="2500" w:type="dxa"/>
            <w:vAlign w:val="top"/>
          </w:tcPr>
          <w:p>
            <w:pPr>
              <w:pStyle w:val="tCStyle"/>
            </w:pPr>
            <w:r>
              <w:rPr>
                <w:rStyle w:val="rStyle4"/>
              </w:rPr>
              <w:t xml:space="preserve">ยุทธศาสตร์ 1</w:t>
            </w:r>
          </w:p>
          <w:p>
            <w:pPr>
              <w:pStyle w:val="tCStyle"/>
            </w:pPr>
            <w:r>
              <w:rPr>
                <w:rStyle w:val="rStyle6"/>
              </w:rPr>
              <w:t xml:space="preserve"/>
            </w:r>
          </w:p>
        </w:tc>
        <w:tc>
          <w:tcPr>
            <w:tcW w:w="2500" w:type="dxa"/>
            <w:vAlign w:val="top"/>
          </w:tcPr>
          <w:p>
            <w:pPr>
              <w:pStyle w:val="tCStyle"/>
            </w:pPr>
            <w:r>
              <w:rPr>
                <w:rStyle w:val="rStyle4"/>
              </w:rPr>
              <w:t xml:space="preserve">ยุทธศาสตร์ 2</w:t>
            </w:r>
          </w:p>
          <w:p>
            <w:pPr>
              <w:pStyle w:val="tCStyle"/>
            </w:pPr>
            <w:r>
              <w:rPr>
                <w:rStyle w:val="rStyle6"/>
              </w:rPr>
              <w:t xml:space="preserve"/>
            </w:r>
          </w:p>
        </w:tc>
        <w:tc>
          <w:tcPr>
            <w:tcW w:w="2500" w:type="dxa"/>
            <w:vAlign w:val="top"/>
          </w:tcPr>
          <w:p>
            <w:pPr>
              <w:pStyle w:val="tCStyle"/>
            </w:pPr>
            <w:r>
              <w:rPr>
                <w:rStyle w:val="rStyle4"/>
              </w:rPr>
              <w:t xml:space="preserve">ยุทธศาสตร์ 3</w:t>
            </w:r>
          </w:p>
          <w:p>
            <w:pPr>
              <w:pStyle w:val="tCStyle"/>
            </w:pPr>
            <w:r>
              <w:rPr>
                <w:rStyle w:val="rStyle6"/>
              </w:rPr>
              <w:t xml:space="preserve"/>
            </w:r>
          </w:p>
        </w:tc>
        <w:tc>
          <w:tcPr>
            <w:tcW w:w="2500" w:type="dxa"/>
            <w:vAlign w:val="top"/>
          </w:tcPr>
          <w:p>
            <w:pPr>
              <w:pStyle w:val="tCStyle"/>
            </w:pPr>
            <w:r>
              <w:rPr>
                <w:rStyle w:val="rStyle4"/>
              </w:rPr>
              <w:t xml:space="preserve">ยุทธศาสตร์ 4</w:t>
            </w:r>
          </w:p>
          <w:p>
            <w:pPr>
              <w:pStyle w:val="tCStyle"/>
            </w:pPr>
            <w:r>
              <w:rPr>
                <w:rStyle w:val="rStyle6"/>
              </w:rPr>
              <w:t xml:space="preserve"/>
            </w:r>
          </w:p>
        </w:tc>
      </w:tr>
      <w:tr>
        <w:trPr>
          <w:trHeight w:val="200" w:hRule="atLeast"/>
        </w:trPr>
        <w:tc>
          <w:tcPr>
            <w:tcW w:w="10000" w:type="dxa"/>
            <w:vAlign w:val="center"/>
            <w:gridSpan w:val="4"/>
          </w:tcPr>
          <w:p>
            <w:pPr>
              <w:pStyle w:val="tCStyle"/>
            </w:pPr>
            <w:r>
              <w:rPr>
                <w:rStyle w:val="rStyle5"/>
              </w:rPr>
              <w:t xml:space="preserve">วัตถุประสงค์เชิงกลยุทธ์</w:t>
            </w:r>
          </w:p>
        </w:tc>
      </w:tr>
      <w:tr>
        <w:trPr>
          <w:trHeight w:val="200" w:hRule="atLeast"/>
        </w:trPr>
        <w:tc>
          <w:tcPr>
            <w:tcW w:w="2500" w:type="dxa"/>
            <w:vAlign w:val="top"/>
          </w:tcPr>
          <w:p/>
        </w:tc>
        <w:tc>
          <w:tcPr>
            <w:tcW w:w="2500" w:type="dxa"/>
            <w:vAlign w:val="top"/>
          </w:tcPr>
          <w:p/>
        </w:tc>
        <w:tc>
          <w:tcPr>
            <w:tcW w:w="2500" w:type="dxa"/>
            <w:vAlign w:val="top"/>
          </w:tcPr>
          <w:p/>
        </w:tc>
        <w:tc>
          <w:tcPr>
            <w:tcW w:w="2500" w:type="dxa"/>
            <w:vAlign w:val="top"/>
          </w:tcPr>
          <w:p/>
        </w:tc>
      </w:tr>
      <w:tr>
        <w:trPr>
          <w:trHeight w:val="200" w:hRule="atLeast"/>
        </w:trPr>
        <w:tc>
          <w:tcPr>
            <w:tcW w:w="10000" w:type="dxa"/>
            <w:vAlign w:val="center"/>
            <w:gridSpan w:val="4"/>
          </w:tcPr>
          <w:p>
            <w:pPr>
              <w:pStyle w:val="tCStyle"/>
            </w:pPr>
            <w:r>
              <w:rPr>
                <w:rStyle w:val="rStyle5"/>
              </w:rPr>
              <w:t xml:space="preserve">กลยุทธ์ระดับหน้าที่</w:t>
            </w:r>
          </w:p>
        </w:tc>
      </w:tr>
      <w:tr>
        <w:trPr>
          <w:trHeight w:val="200" w:hRule="atLeast"/>
        </w:trPr>
        <w:tc>
          <w:tcPr>
            <w:tcW w:w="2500" w:type="dxa"/>
            <w:vAlign w:val="top"/>
          </w:tcPr>
          <w:p/>
        </w:tc>
        <w:tc>
          <w:tcPr>
            <w:tcW w:w="2500" w:type="dxa"/>
            <w:vAlign w:val="top"/>
          </w:tcPr>
          <w:p/>
        </w:tc>
        <w:tc>
          <w:tcPr>
            <w:tcW w:w="2500" w:type="dxa"/>
            <w:vAlign w:val="top"/>
          </w:tcPr>
          <w:p/>
        </w:tc>
        <w:tc>
          <w:tcPr>
            <w:tcW w:w="2500" w:type="dxa"/>
            <w:vAlign w:val="top"/>
          </w:tcPr>
          <w:p/>
        </w:tc>
      </w:tr>
    </w:tbl>
    <w:p>
      <w:pPr/>
      <w:r>
        <w:rPr>
          <w:rStyle w:val="rStyle3"/>
        </w:rPr>
        <w:t xml:space="preserve">
          <w:br/>
        </w:t>
      </w:r>
      <w:r>
        <w:rPr>
          <w:rStyle w:val="rStyle5"/>
        </w:rPr>
        <w:t xml:space="preserve">3. สอดคล้องกับแผนงาน (เลือกเพียง 1 แผนงานเท่านั้น)</w:t>
      </w:r>
    </w:p>
    <w:tbl>
      <w:tblGrid>
        <w:gridCol w:w="5000" w:type="dxa"/>
        <w:gridCol w:w="5000" w:type="dxa"/>
      </w:tblGrid>
      <w:tblPr>
        <w:tblStyle w:val=""/>
      </w:tblPr>
      <w:tr>
        <w:trPr>
          <w:trHeight w:val="200" w:hRule="atLeast"/>
        </w:trPr>
        <w:tc>
          <w:tcPr>
            <w:tcW w:w="5000" w:type="dxa"/>
            <w:vAlign w:val="top"/>
          </w:tcPr>
          <w:p>
            <w:pPr>
              <w:pStyle w:val="LeftStyle0"/>
            </w:pPr>
            <w:r>
              <w:rPr>
                <w:rStyle w:val="rStyle6"/>
              </w:rPr>
              <w:t xml:space="preserve">
                <w:sym w:font="Wingdings" w:char="F0A8"/>
                 แผนงานพัฒนานิสิต
              </w:t>
            </w:r>
          </w:p>
        </w:tc>
        <w:tc>
          <w:tcPr>
            <w:tcW w:w="5000" w:type="dxa"/>
            <w:vAlign w:val="top"/>
          </w:tcPr>
          <w:p>
            <w:pPr>
              <w:pStyle w:val="LeftStyle0"/>
            </w:pPr>
            <w:r>
              <w:rPr>
                <w:rStyle w:val="rStyle6"/>
              </w:rPr>
              <w:t xml:space="preserve">
                <w:sym w:font="Wingdings" w:char="F0A8"/>
                 แผนงานวิเทศสัมพันธ์และความร่วมมือ
              </w:t>
            </w:r>
          </w:p>
        </w:tc>
      </w:tr>
      <w:tr>
        <w:trPr>
          <w:trHeight w:val="200" w:hRule="atLeast"/>
        </w:trPr>
        <w:tc>
          <w:tcPr>
            <w:tcW w:w="5000" w:type="dxa"/>
            <w:vAlign w:val="top"/>
          </w:tcPr>
          <w:p>
            <w:pPr>
              <w:pStyle w:val="LeftStyle0"/>
            </w:pPr>
            <w:r>
              <w:rPr>
                <w:rStyle w:val="rStyle6"/>
              </w:rPr>
              <w:t xml:space="preserve">
                <w:sym w:font="Wingdings" w:char="F0A8"/>
                 แผนงานพัฒนาการเรียนการสอน
              </w:t>
            </w:r>
          </w:p>
        </w:tc>
        <w:tc>
          <w:tcPr>
            <w:tcW w:w="5000" w:type="dxa"/>
            <w:vAlign w:val="top"/>
          </w:tcPr>
          <w:p>
            <w:pPr>
              <w:pStyle w:val="LeftStyle0"/>
            </w:pPr>
            <w:r>
              <w:rPr>
                <w:rStyle w:val="rStyle6"/>
              </w:rPr>
              <w:t xml:space="preserve">
                <w:sym w:font="Wingdings" w:char="F0A8"/>
                 แผนงานบริการวิชาการ
              </w:t>
            </w:r>
          </w:p>
        </w:tc>
      </w:tr>
      <w:tr>
        <w:trPr>
          <w:trHeight w:val="200" w:hRule="atLeast"/>
        </w:trPr>
        <w:tc>
          <w:tcPr>
            <w:tcW w:w="5000" w:type="dxa"/>
            <w:vAlign w:val="top"/>
          </w:tcPr>
          <w:p>
            <w:pPr>
              <w:pStyle w:val="LeftStyle0"/>
            </w:pPr>
            <w:r>
              <w:rPr>
                <w:rStyle w:val="rStyle6"/>
              </w:rPr>
              <w:t xml:space="preserve">
                <w:sym w:font="Wingdings" w:char="F0A8"/>
                 แผนงานพัฒนาบุคลากร 
              </w:t>
            </w:r>
          </w:p>
        </w:tc>
        <w:tc>
          <w:tcPr>
            <w:tcW w:w="5000" w:type="dxa"/>
            <w:vAlign w:val="top"/>
          </w:tcPr>
          <w:p>
            <w:pPr>
              <w:pStyle w:val="LeftStyle0"/>
            </w:pPr>
            <w:r>
              <w:rPr>
                <w:rStyle w:val="rStyle6"/>
              </w:rPr>
              <w:t xml:space="preserve">
                <w:sym w:font="Wingdings" w:char="F0A8"/>
                 แผนงานบริหารจัดการ
              </w:t>
            </w:r>
          </w:p>
        </w:tc>
      </w:tr>
      <w:tr>
        <w:trPr>
          <w:trHeight w:val="200" w:hRule="atLeast"/>
        </w:trPr>
        <w:tc>
          <w:tcPr>
            <w:tcW w:w="5000" w:type="dxa"/>
            <w:vAlign w:val="top"/>
          </w:tcPr>
          <w:p>
            <w:pPr>
              <w:pStyle w:val="LeftStyle0"/>
            </w:pPr>
            <w:r>
              <w:rPr>
                <w:rStyle w:val="rStyle6"/>
              </w:rPr>
              <w:t xml:space="preserve">
                <w:sym w:font="Wingdings" w:char="F0FE"/>
                 แผนงานพัฒนาและส่งเสริมการวิจัย
              </w:t>
            </w:r>
          </w:p>
        </w:tc>
        <w:tc>
          <w:tcPr>
            <w:tcW w:w="5000" w:type="dxa"/>
            <w:vAlign w:val="top"/>
          </w:tcPr>
          <w:p>
            <w:pPr>
              <w:pStyle w:val="LeftStyle0"/>
            </w:pPr>
            <w:r>
              <w:rPr>
                <w:rStyle w:val="rStyle6"/>
              </w:rPr>
              <w:t xml:space="preserve">
                <w:sym w:font="Wingdings" w:char="F0A8"/>
                 แผนงานทำนุบำรุงศิลปะและวัฒนธรรม
              </w:t>
            </w:r>
          </w:p>
        </w:tc>
      </w:tr>
      <w:tr>
        <w:trPr>
          <w:trHeight w:val="200" w:hRule="atLeast"/>
        </w:trPr>
        <w:tc>
          <w:tcPr>
            <w:tcW w:w="5000" w:type="dxa"/>
            <w:vAlign w:val="top"/>
          </w:tcPr>
          <w:p>
            <w:pPr>
              <w:pStyle w:val="LeftStyle0"/>
            </w:pPr>
            <w:r>
              <w:rPr>
                <w:rStyle w:val="rStyle6"/>
              </w:rPr>
              <w:t xml:space="preserve">
                <w:sym w:font="Wingdings" w:char="F0A8"/>
                 แผนงานประชาสัมพันธ์และส่งเสริมภาพลักษณ์องค์กร
              </w:t>
            </w:r>
          </w:p>
        </w:tc>
        <w:tc>
          <w:tcPr>
            <w:tcW w:w="5000" w:type="dxa"/>
            <w:vAlign w:val="top"/>
          </w:tcPr>
          <w:p>
            <w:pPr>
              <w:pStyle w:val="LeftStyle0"/>
            </w:pPr>
            <w:r>
              <w:rPr>
                <w:rStyle w:val="rStyle6"/>
              </w:rPr>
              <w:t xml:space="preserve">
                <w:sym w:font="Wingdings" w:char="F0A8"/>
                 แผนงานพัฒนากายภาพ
              </w:t>
            </w:r>
          </w:p>
        </w:tc>
      </w:tr>
      <w:tr>
        <w:trPr>
          <w:trHeight w:val="200" w:hRule="atLeast"/>
        </w:trPr>
        <w:tc>
          <w:tcPr>
            <w:tcW w:w="5000" w:type="dxa"/>
            <w:vAlign w:val="top"/>
          </w:tcPr>
          <w:p>
            <w:pPr>
              <w:pStyle w:val="LeftStyle0"/>
            </w:pPr>
            <w:r>
              <w:rPr>
                <w:rStyle w:val="rStyle6"/>
              </w:rPr>
              <w:t xml:space="preserve">
                <w:sym w:font="Wingdings" w:char="F0A8"/>
                 แผนงานระบบสารสนเทศ
              </w:t>
            </w:r>
          </w:p>
        </w:tc>
        <w:tc>
          <w:tcPr>
            <w:tcW w:w="5000" w:type="dxa"/>
            <w:vAlign w:val="top"/>
          </w:tcPr>
          <w:p>
            <w:pPr>
              <w:pStyle w:val="LeftStyle0"/>
            </w:pPr>
            <w:r>
              <w:rPr>
                <w:rStyle w:val="rStyle6"/>
              </w:rPr>
              <w:t xml:space="preserve">
                <w:sym w:font="Wingdings" w:char="F0A8"/>
                 แผนพัฒนางานประกันคุณภาพ
              </w:t>
            </w:r>
          </w:p>
        </w:tc>
      </w:tr>
    </w:tbl>
    <w:p>
      <w:pPr>
        <w:pStyle w:val="Heading3"/>
      </w:pPr>
      <w:bookmarkStart w:id="3" w:name="_Toc3"/>
      <w:r>
        <w:t>4. วัตถุประสงค์โครงการ</w:t>
      </w:r>
      <w:bookmarkEnd w:id="3"/>
    </w:p>
    <w:p>
      <w:pPr>
        <w:pStyle w:val="pStyle2"/>
      </w:pPr>
      <w:r>
        <w:rPr>
          <w:rStyle w:val="rStyle1"/>
        </w:rPr>
        <w:t xml:space="preserve">	1. เพื่อเผยแพร่ผลงานทางวิชาการ ผลงานวิจัย และความรู้ในสาขาวิชาบริหารธุรกิจ ได้แก่ การจัดการ การตลาด ธุรกิจระหว่างประเทศ การโรงแรมและการท่องเที่ยว การบัญชี การจัดการโลจิสติกส์ การเงิน และการลงทุน เศรษฐศาสตร์ ภาษาอังกฤษธุรกิจ การวิเคราะห์ธุรกิจ ของอาจารย์ นักวิจัย นิสิต นักศึกษา และผู้สนใจทั่วไป </w:t>
      </w:r>
    </w:p>
    <w:p>
      <w:pPr>
        <w:pStyle w:val="pStyle1"/>
      </w:pPr>
      <w:r>
        <w:rPr>
          <w:rStyle w:val="rStyle1"/>
        </w:rPr>
        <w:t xml:space="preserve">	2. เพื่อสร้างเครือข่ายและพัฒนาองค์ความรู้เชิงวิชาการ และเชิงประยุกต์ในสาขาวิชาบริหารธุรกิจ ได้แก่ การจัดการ การตลาด ธุรกิจระหว่างประเทศ การโรงแรมและการท่องเที่ยว การบัญชี การจัดการโลจิสติกส์ การเงินและการลงทุน เศรษฐศาสตร์ ภาษาอังกฤษธุรกิจ การวิเคราะห์ธุรกิจ</w:t>
      </w:r>
    </w:p>
    <w:p>
      <w:pPr>
        <w:pStyle w:val="Heading3"/>
      </w:pPr>
      <w:bookmarkStart w:id="4" w:name="_Toc4"/>
      <w:r>
        <w:t>5. กลุ่มเป้าหมายดำเนินการ</w:t>
      </w:r>
      <w:bookmarkEnd w:id="4"/>
    </w:p>
    <w:p>
      <w:pPr>
        <w:pStyle w:val="LeftStyle"/>
      </w:pPr>
      <w:r>
        <w:rPr>
          <w:rStyle w:val="rStyle5"/>
        </w:rPr>
        <w:t xml:space="preserve">6. วิธีการดำเนินการ</w:t>
      </w:r>
    </w:p>
    <w:p>
      <w:pPr/>
      <w:r>
        <w:rPr>
          <w:rStyle w:val="rStyle1"/>
        </w:rPr>
        <w:t xml:space="preserve">
           จัดทำวารสารปีละ 2 ฉบับ ตามขั้นตอนดังนี้
          <w:br/>
          1. รวบรวมบทความวิชาการ บทความวิจัย และประเมินผล ผ่านระบบ KUOJS
          <w:br/>
          2. จัดรูปแบบเผยแพร่บทความตามมาตรฐาน TCI
          <w:br/>
          3. ตรวจสอบความถูกต้อง
          <w:br/>
          4. เผยแพร่บทความผ่านเว็บไซต์วารสารวิทยาการจัดการ มหาวิทยาลัยเกษตรศาสตร์ JMSKU
          <w:br/>
          5. ดำเนินการเบิกจ่ายค่าตอบแทนผู้ทรงคุณวุฒิพิจารณาบทความ และค่าสาธารณูปโภค (ค่าไปรษณีย์ ค่าจัดส่งเอกสาร ค่าดวงตราไปรษณียากร)
          <w:br/>
          6. ทำเรื่องปิดโครงการ
        </w:t>
      </w:r>
    </w:p>
    <w:p>
      <w:pPr/>
      <w:r>
        <w:rPr>
          <w:rStyle w:val="rStyle5"/>
        </w:rPr>
        <w:t xml:space="preserve">7. หน่วยงานที่รับผิดชอบโครงการ </w:t>
      </w:r>
      <w:r>
        <w:rPr>
          <w:rStyle w:val="rStyle1"/>
        </w:rPr>
        <w:t xml:space="preserve">คณะทำงานจัดทำวารสารวิชาการคณะวิทยาการจัดการ</w:t>
      </w:r>
    </w:p>
    <w:p>
      <w:pPr/>
      <w:r>
        <w:rPr>
          <w:rStyle w:val="rStyle5"/>
        </w:rPr>
        <w:t xml:space="preserve">8. ผู้จัดทำโครงการ </w:t>
      </w:r>
      <w:r>
        <w:rPr>
          <w:rStyle w:val="rStyle1"/>
        </w:rPr>
        <w:t xml:space="preserve">ชวณัฐ ปัญญาสิม</w:t>
      </w:r>
    </w:p>
    <w:p>
      <w:pPr/>
      <w:r>
        <w:rPr>
          <w:rStyle w:val="rStyle5"/>
        </w:rPr>
        <w:t xml:space="preserve">9. ผู้จัดทำโครงการ (ร่วม) </w:t>
      </w:r>
      <w:r>
        <w:rPr>
          <w:rStyle w:val="rStyle1"/>
        </w:rPr>
        <w:t xml:space="preserve">สิทธิกานต์ เบ็ญจสุพัฒนนันท์</w:t>
      </w:r>
      <w:r>
        <w:rPr>
          <w:rStyle w:val="rStyle1"/>
        </w:rPr>
        <w:t xml:space="preserve"> / </w:t>
      </w:r>
      <w:r>
        <w:rPr>
          <w:rStyle w:val="rStyle1"/>
        </w:rPr>
        <w:t xml:space="preserve">จารุพร ตั้งพัฒนกิจ</w:t>
      </w:r>
      <w:r>
        <w:rPr>
          <w:rStyle w:val="rStyle1"/>
        </w:rPr>
        <w:t xml:space="preserve"> / </w:t>
      </w:r>
      <w:r>
        <w:rPr>
          <w:rStyle w:val="rStyle1"/>
        </w:rPr>
        <w:t xml:space="preserve">ถิตรัตน์ พิมพาภรณ์</w:t>
      </w:r>
      <w:r>
        <w:rPr>
          <w:rStyle w:val="rStyle1"/>
        </w:rPr>
        <w:t xml:space="preserve"> / </w:t>
      </w:r>
      <w:r>
        <w:rPr>
          <w:rStyle w:val="rStyle1"/>
        </w:rPr>
        <w:t xml:space="preserve">ศิรวัตร ไทยแท้</w:t>
      </w:r>
      <w:r>
        <w:rPr>
          <w:rStyle w:val="rStyle1"/>
        </w:rPr>
        <w:t xml:space="preserve"> / </w:t>
      </w:r>
      <w:r>
        <w:rPr>
          <w:rStyle w:val="rStyle1"/>
        </w:rPr>
        <w:t xml:space="preserve">ศุภาภาส คำโตนด</w:t>
      </w:r>
      <w:r>
        <w:rPr>
          <w:rStyle w:val="rStyle1"/>
        </w:rPr>
        <w:t xml:space="preserve"> / </w:t>
      </w:r>
      <w:r>
        <w:rPr>
          <w:rStyle w:val="rStyle1"/>
        </w:rPr>
        <w:t xml:space="preserve">สิทธิเดช บำรุงทรัพย์</w:t>
      </w:r>
      <w:r>
        <w:rPr>
          <w:rStyle w:val="rStyle1"/>
        </w:rPr>
        <w:t xml:space="preserve"> / </w:t>
      </w:r>
      <w:r>
        <w:rPr>
          <w:rStyle w:val="rStyle1"/>
        </w:rPr>
        <w:t xml:space="preserve">รัตติยาภรณ์ ต้นสุวรรณ์</w:t>
      </w:r>
      <w:r>
        <w:rPr>
          <w:rStyle w:val="rStyle1"/>
        </w:rPr>
        <w:t xml:space="preserve"> / </w:t>
      </w:r>
      <w:r>
        <w:rPr>
          <w:rStyle w:val="rStyle1"/>
        </w:rPr>
        <w:t xml:space="preserve">กมลรัตน์ บัณฑิตทัศนานนท์</w:t>
      </w:r>
      <w:r>
        <w:rPr>
          <w:rStyle w:val="rStyle1"/>
        </w:rPr>
        <w:t xml:space="preserve"> / </w:t>
      </w:r>
      <w:r>
        <w:rPr>
          <w:rStyle w:val="rStyle1"/>
        </w:rPr>
        <w:t xml:space="preserve">ชวณัฐ ปัญญาสิม</w:t>
      </w:r>
    </w:p>
    <w:p>
      <w:pPr>
        <w:pStyle w:val="Heading3"/>
      </w:pPr>
      <w:bookmarkStart w:id="5" w:name="_Toc5"/>
      <w:r>
        <w:t>10. วันและเวลาดำเนินการ</w:t>
      </w:r>
      <w:bookmarkEnd w:id="5"/>
    </w:p>
    <w:p>
      <w:pPr>
        <w:pStyle w:val="pStyle1"/>
      </w:pPr>
      <w:r>
        <w:rPr>
          <w:rStyle w:val="rStyle1"/>
        </w:rPr>
        <w:t xml:space="preserve">	เริ่มต้น 1 ตุลาคม 2568 สิ้นสุด 30 กันยายน 2569</w:t>
      </w:r>
    </w:p>
    <w:p>
      <w:pPr>
        <w:pStyle w:val="Heading3"/>
      </w:pPr>
      <w:bookmarkStart w:id="6" w:name="_Toc6"/>
      <w:r>
        <w:t>11. สถานที่ดำเนินการ</w:t>
      </w:r>
      <w:bookmarkEnd w:id="6"/>
    </w:p>
    <w:p>
      <w:pPr>
        <w:pStyle w:val="pStyle1"/>
      </w:pPr>
      <w:r>
        <w:rPr>
          <w:rStyle w:val="rStyle1"/>
        </w:rPr>
        <w:t xml:space="preserve">	คณะวิทยาการจัดการ มหาวิทยาลัยเกษตรศาสตร์</w:t>
      </w:r>
    </w:p>
    <w:p>
      <w:pPr>
        <w:pStyle w:val="Heading3"/>
      </w:pPr>
      <w:bookmarkStart w:id="7" w:name="_Toc7"/>
      <w:r>
        <w:t>12. งบประมาณ</w:t>
      </w:r>
      <w:bookmarkEnd w:id="7"/>
    </w:p>
    <w:tbl>
      <w:tblGrid>
        <w:gridCol w:w="1000" w:type="dxa"/>
        <w:gridCol w:w="7000" w:type="dxa"/>
        <w:gridCol w:w="1500" w:type="dxa"/>
      </w:tblGrid>
      <w:tblPr>
        <w:tblStyle w:val="Fancy Table"/>
      </w:tblPr>
      <w:tr>
        <w:trPr>
          <w:trHeight w:val="200" w:hRule="atLeast"/>
          <w:tblHeader w:val="1"/>
        </w:trPr>
        <w:tc>
          <w:tcPr>
            <w:tcW w:w="1000" w:type="dxa"/>
            <w:vAlign w:val="center"/>
          </w:tcPr>
          <w:p>
            <w:pPr>
              <w:pStyle w:val="tCStyle"/>
            </w:pPr>
            <w:r>
              <w:rPr>
                <w:rStyle w:val="rStyle5"/>
              </w:rPr>
              <w:t xml:space="preserve">ลำดับที่</w:t>
            </w:r>
          </w:p>
        </w:tc>
        <w:tc>
          <w:tcPr>
            <w:tcW w:w="7000" w:type="dxa"/>
            <w:vAlign w:val="center"/>
          </w:tcPr>
          <w:p>
            <w:pPr>
              <w:pStyle w:val="tCStyle"/>
            </w:pPr>
            <w:r>
              <w:rPr>
                <w:rStyle w:val="rStyle5"/>
              </w:rPr>
              <w:t xml:space="preserve">รายการ</w:t>
            </w:r>
          </w:p>
        </w:tc>
        <w:tc>
          <w:tcPr>
            <w:tcW w:w="1500" w:type="dxa"/>
            <w:vAlign w:val="center"/>
          </w:tcPr>
          <w:p>
            <w:pPr>
              <w:pStyle w:val="tCStyle"/>
            </w:pPr>
            <w:r>
              <w:rPr>
                <w:rStyle w:val="rStyle5"/>
              </w:rPr>
              <w:t xml:space="preserve">ประมาณการ</w:t>
            </w:r>
          </w:p>
        </w:tc>
      </w:tr>
      <w:tr>
        <w:trPr>
          <w:trHeight w:val="200" w:hRule="atLeast"/>
        </w:trPr>
        <w:tc>
          <w:tcPr>
            <w:tcW w:w="1000" w:type="dxa"/>
            <w:vAlign w:val="center"/>
          </w:tcPr>
          <w:p>
            <w:pPr>
              <w:pStyle w:val="tCStyle"/>
            </w:pPr>
            <w:r>
              <w:rPr>
                <w:rStyle w:val="rStyle1"/>
              </w:rPr>
              <w:t xml:space="preserve">1</w:t>
            </w:r>
          </w:p>
        </w:tc>
        <w:tc>
          <w:tcPr>
            <w:tcW w:w="7000" w:type="dxa"/>
            <w:vAlign w:val="center"/>
          </w:tcPr>
          <w:p>
            <w:pPr>
              <w:pStyle w:val="tLeftStyle"/>
            </w:pPr>
            <w:r>
              <w:rPr>
                <w:rStyle w:val="rStyle1"/>
              </w:rPr>
              <w:t xml:space="preserve">ค่าใช้จ่ายระหว่างเดือนตุลาคม ถึง ธันวาคม 2568 - ค่าตอบแทนผู้ทรงคุณวุฒิ 30 คน คนละ 1,000 บาท รวมเป็น 30,000 บาท - ค่าสาธารณูปโภค (ค่าไปรษณีย์ ค่าจัดส่งเอกสาร ค่าดวงตราไปรษณียากร) จำนวน 2,000 บาท </w:t>
            </w:r>
          </w:p>
        </w:tc>
        <w:tc>
          <w:tcPr>
            <w:tcW w:w="1500" w:type="dxa"/>
            <w:vAlign w:val="center"/>
          </w:tcPr>
          <w:p>
            <w:pPr>
              <w:pStyle w:val="RightStyle"/>
            </w:pPr>
            <w:r>
              <w:rPr>
                <w:rStyle w:val="rStyle1"/>
              </w:rPr>
              <w:t xml:space="preserve">32,000</w:t>
            </w:r>
          </w:p>
        </w:tc>
      </w:tr>
      <w:tr>
        <w:trPr>
          <w:trHeight w:val="200" w:hRule="atLeast"/>
        </w:trPr>
        <w:tc>
          <w:tcPr>
            <w:tcW w:w="1000" w:type="dxa"/>
            <w:vAlign w:val="center"/>
          </w:tcPr>
          <w:p>
            <w:pPr>
              <w:pStyle w:val="tCStyle"/>
            </w:pPr>
            <w:r>
              <w:rPr>
                <w:rStyle w:val="rStyle1"/>
              </w:rPr>
              <w:t xml:space="preserve">2</w:t>
            </w:r>
          </w:p>
        </w:tc>
        <w:tc>
          <w:tcPr>
            <w:tcW w:w="7000" w:type="dxa"/>
            <w:vAlign w:val="center"/>
          </w:tcPr>
          <w:p>
            <w:pPr>
              <w:pStyle w:val="tLeftStyle"/>
            </w:pPr>
            <w:r>
              <w:rPr>
                <w:rStyle w:val="rStyle1"/>
              </w:rPr>
              <w:t xml:space="preserve">ค่าใช้จ่ายระหว่างเดือนมกราคม ถึง มีนาคม 2569 - ค่าตอบแทนผู้ทรงคุณวุฒิ 30 คน คนละ 1,000 บาท รวมเป็น 30,000 บาท - ค่าสาธารณูปโภค (ค่าไปรษณีย์ ค่าจัดส่งเอกสาร ค่าดวงตราไปรษณียากร) จำนวน 2,000 บาท </w:t>
            </w:r>
          </w:p>
        </w:tc>
        <w:tc>
          <w:tcPr>
            <w:tcW w:w="1500" w:type="dxa"/>
            <w:vAlign w:val="center"/>
          </w:tcPr>
          <w:p>
            <w:pPr>
              <w:pStyle w:val="RightStyle"/>
            </w:pPr>
            <w:r>
              <w:rPr>
                <w:rStyle w:val="rStyle1"/>
              </w:rPr>
              <w:t xml:space="preserve">32,000</w:t>
            </w:r>
          </w:p>
        </w:tc>
      </w:tr>
      <w:tr>
        <w:trPr>
          <w:trHeight w:val="200" w:hRule="atLeast"/>
        </w:trPr>
        <w:tc>
          <w:tcPr>
            <w:tcW w:w="1000" w:type="dxa"/>
            <w:vAlign w:val="center"/>
          </w:tcPr>
          <w:p>
            <w:pPr>
              <w:pStyle w:val="tCStyle"/>
            </w:pPr>
            <w:r>
              <w:rPr>
                <w:rStyle w:val="rStyle1"/>
              </w:rPr>
              <w:t xml:space="preserve">3</w:t>
            </w:r>
          </w:p>
        </w:tc>
        <w:tc>
          <w:tcPr>
            <w:tcW w:w="7000" w:type="dxa"/>
            <w:vAlign w:val="center"/>
          </w:tcPr>
          <w:p>
            <w:pPr>
              <w:pStyle w:val="tLeftStyle"/>
            </w:pPr>
            <w:r>
              <w:rPr>
                <w:rStyle w:val="rStyle1"/>
              </w:rPr>
              <w:t xml:space="preserve">ค่าใช้จ่ายระหว่างเดือนเมษายน ถึง มิถุนายน 2569 - ค่าตอบแทนผู้ทรงคุณวุฒิ 30 คน คนละ 1,000 บาท รวมเป็น 30,000 บาท - ค่าสาธารณูปโภค (ค่าไปรษณีย์ ค่าจัดส่งเอกสาร ค่าดวงตราไปรษณียากร) จำนวน 2,000 บาท </w:t>
            </w:r>
          </w:p>
        </w:tc>
        <w:tc>
          <w:tcPr>
            <w:tcW w:w="1500" w:type="dxa"/>
            <w:vAlign w:val="center"/>
          </w:tcPr>
          <w:p>
            <w:pPr>
              <w:pStyle w:val="RightStyle"/>
            </w:pPr>
            <w:r>
              <w:rPr>
                <w:rStyle w:val="rStyle1"/>
              </w:rPr>
              <w:t xml:space="preserve">32,000</w:t>
            </w:r>
          </w:p>
        </w:tc>
      </w:tr>
      <w:tr>
        <w:trPr>
          <w:trHeight w:val="200" w:hRule="atLeast"/>
        </w:trPr>
        <w:tc>
          <w:tcPr>
            <w:tcW w:w="1000" w:type="dxa"/>
            <w:vAlign w:val="center"/>
          </w:tcPr>
          <w:p>
            <w:pPr>
              <w:pStyle w:val="tCStyle"/>
            </w:pPr>
            <w:r>
              <w:rPr>
                <w:rStyle w:val="rStyle1"/>
              </w:rPr>
              <w:t xml:space="preserve">4</w:t>
            </w:r>
          </w:p>
        </w:tc>
        <w:tc>
          <w:tcPr>
            <w:tcW w:w="7000" w:type="dxa"/>
            <w:vAlign w:val="center"/>
          </w:tcPr>
          <w:p>
            <w:pPr>
              <w:pStyle w:val="tLeftStyle"/>
            </w:pPr>
            <w:r>
              <w:rPr>
                <w:rStyle w:val="rStyle1"/>
              </w:rPr>
              <w:t xml:space="preserve">ค่าใช้จ่ายระหว่างเดือนกรกฎาคม ถึง กันยายน 2569 - ค่าตอบแทนผู้ทรงคุณวุฒิ 30 คน คนละ 1,000 บาท รวมเป็น 30,000 บาท - ค่าสาธารณูปโภค (ค่าไปรษณีย์ ค่าจัดส่งเอกสาร ค่าดวงตราไปรษณียากร) จำนวน 2,000 บาท </w:t>
            </w:r>
          </w:p>
        </w:tc>
        <w:tc>
          <w:tcPr>
            <w:tcW w:w="1500" w:type="dxa"/>
            <w:vAlign w:val="center"/>
          </w:tcPr>
          <w:p>
            <w:pPr>
              <w:pStyle w:val="RightStyle"/>
            </w:pPr>
            <w:r>
              <w:rPr>
                <w:rStyle w:val="rStyle1"/>
              </w:rPr>
              <w:t xml:space="preserve">32,000</w:t>
            </w:r>
          </w:p>
        </w:tc>
      </w:tr>
      <w:tr>
        <w:trPr>
          <w:trHeight w:val="200" w:hRule="atLeast"/>
        </w:trPr>
        <w:tc>
          <w:tcPr>
            <w:tcW w:w="1000" w:type="dxa"/>
            <w:vAlign w:val="center"/>
          </w:tcPr>
          <w:p>
            <w:pPr>
              <w:pStyle w:val="tCStyle"/>
            </w:pPr>
            <w:r>
              <w:rPr>
                <w:rStyle w:val="rStyle1"/>
              </w:rPr>
              <w:t xml:space="preserve">5</w:t>
            </w:r>
          </w:p>
        </w:tc>
        <w:tc>
          <w:tcPr>
            <w:tcW w:w="7000" w:type="dxa"/>
            <w:vAlign w:val="center"/>
          </w:tcPr>
          <w:p>
            <w:pPr>
              <w:pStyle w:val="tLeftStyle"/>
            </w:pPr>
            <w:r>
              <w:rPr>
                <w:rStyle w:val="rStyle1"/>
              </w:rPr>
              <w:t xml:space="preserve">ขอถัวเฉลี่ยค่าใช้จ่ายทุกรายการ </w:t>
            </w:r>
          </w:p>
        </w:tc>
        <w:tc>
          <w:tcPr>
            <w:tcW w:w="1500" w:type="dxa"/>
            <w:vAlign w:val="center"/>
          </w:tcPr>
          <w:p>
            <w:pPr>
              <w:pStyle w:val="RightStyle"/>
            </w:pPr>
            <w:r>
              <w:rPr>
                <w:rStyle w:val="rStyle1"/>
              </w:rPr>
              <w:t xml:space="preserve">0</w:t>
            </w:r>
          </w:p>
        </w:tc>
      </w:tr>
      <w:tr>
        <w:trPr>
          <w:trHeight w:val="200" w:hRule="atLeast"/>
        </w:trPr>
        <w:tc>
          <w:tcPr>
            <w:tcW w:w="8000" w:type="dxa"/>
            <w:vAlign w:val="center"/>
            <w:gridSpan w:val="2"/>
          </w:tcPr>
          <w:p>
            <w:pPr>
              <w:pStyle w:val="tCStyle"/>
            </w:pPr>
            <w:r>
              <w:rPr>
                <w:rStyle w:val="rStyle5"/>
              </w:rPr>
              <w:t xml:space="preserve">รวมเป็นเงินทั้งสิ้น (บาท)</w:t>
            </w:r>
          </w:p>
        </w:tc>
        <w:tc>
          <w:tcPr>
            <w:tcW w:w="1500" w:type="dxa"/>
            <w:vAlign w:val="center"/>
          </w:tcPr>
          <w:p>
            <w:pPr>
              <w:pStyle w:val="tCStyle"/>
            </w:pPr>
            <w:r>
              <w:rPr>
                <w:rStyle w:val="rStyle5"/>
              </w:rPr>
              <w:t xml:space="preserve">128,000</w:t>
            </w:r>
          </w:p>
        </w:tc>
      </w:tr>
    </w:tbl>
    <w:p>
      <w:pPr>
        <w:pStyle w:val="LeftStyle"/>
      </w:pPr>
      <w:r>
        <w:rPr>
          <w:rStyle w:val="rStyle3"/>
        </w:rPr>
        <w:t xml:space="preserve">
          <w:br/>
        </w:t>
      </w:r>
    </w:p>
    <w:p>
      <w:pPr>
        <w:pStyle w:val="Heading3"/>
      </w:pPr>
      <w:bookmarkStart w:id="8" w:name="_Toc8"/>
      <w:r>
        <w:t>13. ประโยชน์ที่คาดว่าจะได้รับ</w:t>
      </w:r>
      <w:bookmarkEnd w:id="8"/>
    </w:p>
    <w:p>
      <w:pPr>
        <w:pStyle w:val="pStyle1"/>
      </w:pPr>
      <w:r>
        <w:rPr>
          <w:rStyle w:val="rStyle1"/>
        </w:rPr>
        <w:t xml:space="preserve">	1. สร้างเครือข่ายและพัฒนาองค์ความรู้เชิงวิชาการและเชิงประยุกต์ รวมถึงประชาสัมพันธ์เผยแพร่ผลงานทางวิชาการ ผลงานวิจัย ความรู้ในสาขาวิชาบริหารธุรกิจ </w:t>
      </w:r>
    </w:p>
    <w:p>
      <w:pPr>
        <w:pStyle w:val="Heading3"/>
      </w:pPr>
      <w:bookmarkStart w:id="9" w:name="_Toc9"/>
      <w:r>
        <w:t>14. ตัวบ่งชี้ความสำเร็จของโครงการ</w:t>
      </w:r>
      <w:bookmarkEnd w:id="9"/>
    </w:p>
    <w:p>
      <w:pPr>
        <w:pStyle w:val="pStyle1"/>
      </w:pPr>
      <w:r>
        <w:rPr>
          <w:rStyle w:val="rStyle1"/>
        </w:rPr>
        <w:t xml:space="preserve">	14.1 ตัวบ่งชี้เชิงปริมาณ</w:t>
      </w:r>
    </w:p>
    <w:p>
      <w:pPr>
        <w:pStyle w:val="pStyle1"/>
      </w:pPr>
      <w:r>
        <w:rPr>
          <w:rStyle w:val="rStyle1"/>
        </w:rPr>
        <w:t xml:space="preserve">		14.1.1 วารสารตีพิมพ์จำนวน 2 ฉบับต่อปีปฏิทิน</w:t>
      </w:r>
    </w:p>
    <w:p>
      <w:pPr>
        <w:pStyle w:val="pStyle1"/>
      </w:pPr>
      <w:r>
        <w:rPr>
          <w:rStyle w:val="rStyle1"/>
        </w:rPr>
        <w:t xml:space="preserve">	14.2 ตัวบ่งชี้เชิงคุณภาพ</w:t>
      </w:r>
    </w:p>
    <w:p>
      <w:pPr>
        <w:pStyle w:val="pStyle1"/>
      </w:pPr>
      <w:r>
        <w:rPr>
          <w:rStyle w:val="rStyle1"/>
        </w:rPr>
        <w:t xml:space="preserve">		14.2.1 คุณภาพเป็นไปตามกรอบเกณฑ์ TCI </w:t>
      </w:r>
    </w:p>
    <w:p>
      <w:pPr>
        <w:pStyle w:val="Heading3"/>
      </w:pPr>
      <w:bookmarkStart w:id="10" w:name="_Toc10"/>
      <w:r>
        <w:t>15. ผลการดำเนินการของโครงการสามารถตอบผลลัพธ์การดำเนินงานตามเกณฑ์ EdPEx ด้านใด</w:t>
      </w:r>
      <w:bookmarkEnd w:id="10"/>
    </w:p>
    <w:p>
      <w:pPr>
        <w:pStyle w:val="pStyle1"/>
      </w:pPr>
      <w:r>
        <w:rPr>
          <w:rStyle w:val="rStyle1"/>
        </w:rPr>
        <w:t xml:space="preserve">
          <w:sym w:font="Wingdings" w:char="F0FE"/>
            ตัวชี้วัด คือ
        </w:t>
      </w:r>
    </w:p>
    <w:p>
      <w:pPr>
        <w:pStyle w:val="Heading3"/>
      </w:pPr>
      <w:bookmarkStart w:id="11" w:name="_Toc11"/>
      <w:r>
        <w:t>16. การวิเคราะห์และบริหารความเสี่ยง (เลือกอย่างน้อย 1 ด้าน)</w:t>
      </w:r>
      <w:bookmarkEnd w:id="11"/>
    </w:p>
    <w:p>
      <w:pPr>
        <w:pStyle w:val="LeftStyle0"/>
      </w:pPr>
      <w:r>
        <w:rPr>
          <w:rStyle w:val="rStyle6"/>
        </w:rPr>
        <w:t xml:space="preserve">
          <w:sym w:font="Wingdings" w:char="F0A8"/>
           การวิเคราะห์ความเสี่ยงด้านกลยุทธ์
        </w:t>
      </w:r>
    </w:p>
    <w:p>
      <w:pPr/>
      <w:r>
        <w:rPr>
          <w:rStyle w:val="rStyle4"/>
        </w:rPr>
        <w:t xml:space="preserve">	ปัจจัยที่ก่อให้เกิดความเสี่ยง</w:t>
      </w:r>
      <w:r>
        <w:rPr>
          <w:rStyle w:val="rStyle6"/>
        </w:rPr>
        <w:t xml:space="preserve"> ...............................................................................................................</w:t>
      </w:r>
    </w:p>
    <w:p>
      <w:pPr/>
      <w:r>
        <w:rPr>
          <w:rStyle w:val="rStyle4"/>
        </w:rPr>
        <w:t xml:space="preserve">	แนวทางการบริหารความเสี่ยง</w:t>
      </w:r>
      <w:r>
        <w:rPr>
          <w:rStyle w:val="rStyle6"/>
        </w:rPr>
        <w:t xml:space="preserve"> ...........................................................................................................</w:t>
      </w:r>
    </w:p>
    <w:p>
      <w:pPr>
        <w:pStyle w:val="LeftStyle0"/>
      </w:pPr>
      <w:r>
        <w:rPr>
          <w:rStyle w:val="rStyle6"/>
        </w:rPr>
        <w:t xml:space="preserve">
          <w:sym w:font="Wingdings" w:char="F0A8"/>
           การวิเคราะห์ความเสี่ยงด้านการดำเนินงาน (การดำเนินงาน/จรรยาบรรณ)
        </w:t>
      </w:r>
    </w:p>
    <w:p>
      <w:pPr/>
      <w:r>
        <w:rPr>
          <w:rStyle w:val="rStyle4"/>
        </w:rPr>
        <w:t xml:space="preserve">	ปัจจัยที่ก่อให้เกิดความเสี่ยง</w:t>
      </w:r>
      <w:r>
        <w:rPr>
          <w:rStyle w:val="rStyle6"/>
        </w:rPr>
        <w:t xml:space="preserve"> ...............................................................................................................</w:t>
      </w:r>
    </w:p>
    <w:p>
      <w:pPr/>
      <w:r>
        <w:rPr>
          <w:rStyle w:val="rStyle4"/>
        </w:rPr>
        <w:t xml:space="preserve">	แนวทางการบริหารความเสี่ยง</w:t>
      </w:r>
      <w:r>
        <w:rPr>
          <w:rStyle w:val="rStyle6"/>
        </w:rPr>
        <w:t xml:space="preserve"> ...........................................................................................................</w:t>
      </w:r>
    </w:p>
    <w:p>
      <w:pPr>
        <w:pStyle w:val="LeftStyle0"/>
      </w:pPr>
      <w:r>
        <w:rPr>
          <w:rStyle w:val="rStyle6"/>
        </w:rPr>
        <w:t xml:space="preserve">
          <w:sym w:font="Wingdings" w:char="F0FE"/>
           การวิเคราะห์ความเสี่ยงด้านทรัพยากร (คน/เงิน/วัสดุ) 
        </w:t>
      </w:r>
    </w:p>
    <w:p>
      <w:pPr/>
      <w:r>
        <w:rPr>
          <w:rStyle w:val="rStyle4"/>
        </w:rPr>
        <w:t xml:space="preserve">	ปัจจัยที่ก่อให้เกิดความเสี่ยง</w:t>
      </w:r>
      <w:r>
        <w:rPr>
          <w:rStyle w:val="rStyle6"/>
        </w:rPr>
        <w:t xml:space="preserve"> ค่าตอบแทนผู้ทรงคุณวุฒิที่ประเมินบทความไม่เพียงพอกับจำนวนผู้ทรงคุณวุฒิ เนื่องจากว่าเป็นช่วงที่วารสารฯ ได้รับการตอบรับเข้าส่ฐาน TCI กลุ่มที่ 2 จึงทำให้มีการส่งบทความเข้ามาเป็นจำนวนมากและส่งผลให้มีการเบิกจ่ายค่าตอบแทนมากกว่าที่ประมาณการไว้ในช่วงเดือนกรกฎาคม ถึง เดือนกันยายน 2568 </w:t>
      </w:r>
    </w:p>
    <w:p>
      <w:pPr/>
      <w:r>
        <w:rPr>
          <w:rStyle w:val="rStyle4"/>
        </w:rPr>
        <w:t xml:space="preserve">	แนวทางการบริหารความเสี่ยง</w:t>
      </w:r>
      <w:r>
        <w:rPr>
          <w:rStyle w:val="rStyle6"/>
        </w:rPr>
        <w:t xml:space="preserve"> ประมาณการวงเงินในส่วนค่าตอบแทนผู้ทรงคุณวุฒิเพิ่มขึ้น เพื่อดำเนินการเบิกจ่ายให้ครบถ้วน</w:t>
      </w:r>
    </w:p>
    <w:p>
      <w:pPr>
        <w:pStyle w:val="LeftStyle0"/>
      </w:pPr>
      <w:r>
        <w:rPr>
          <w:rStyle w:val="rStyle6"/>
        </w:rPr>
        <w:t xml:space="preserve">
          <w:sym w:font="Wingdings" w:char="F0A8"/>
           การวิเคราะห์ความเสี่ยงด้านเหตุการณ์ภายนอก
        </w:t>
      </w:r>
    </w:p>
    <w:p>
      <w:pPr/>
      <w:r>
        <w:rPr>
          <w:rStyle w:val="rStyle4"/>
        </w:rPr>
        <w:t xml:space="preserve">	ปัจจัยที่ก่อให้เกิดความเสี่ยง</w:t>
      </w:r>
      <w:r>
        <w:rPr>
          <w:rStyle w:val="rStyle6"/>
        </w:rPr>
        <w:t xml:space="preserve"> ...............................................................................................................</w:t>
      </w:r>
    </w:p>
    <w:p>
      <w:pPr/>
      <w:r>
        <w:rPr>
          <w:rStyle w:val="rStyle4"/>
        </w:rPr>
        <w:t xml:space="preserve">	แนวทางการบริหารความเสี่ยง</w:t>
      </w:r>
      <w:r>
        <w:rPr>
          <w:rStyle w:val="rStyle6"/>
        </w:rPr>
        <w:t xml:space="preserve"> ...........................................................................................................</w:t>
      </w:r>
    </w:p>
    <w:sectPr>
      <w:pgSz w:orient="portrait" w:w="11905.511811023622" w:h="16837.79527559055"/>
      <w:pgMar w:top="800" w:right="1000" w:bottom="60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hStyle"/>
    <w:rPr>
      <w:rFonts w:ascii="TH SarabunIT๙" w:hAnsi="TH SarabunIT๙" w:eastAsia="TH SarabunIT๙" w:cs="TH SarabunIT๙"/>
      <w:sz w:val="70"/>
      <w:szCs w:val="70"/>
      <w:b w:val="1"/>
      <w:bCs w:val="1"/>
    </w:rPr>
  </w:style>
  <w:style w:type="character">
    <w:name w:val="rStyle"/>
    <w:rPr>
      <w:rFonts w:ascii="TH SarabunIT๙" w:hAnsi="TH SarabunIT๙" w:eastAsia="TH SarabunIT๙" w:cs="TH SarabunIT๙"/>
      <w:sz w:val="36"/>
      <w:szCs w:val="36"/>
      <w:b w:val="1"/>
      <w:bCs w:val="1"/>
    </w:rPr>
  </w:style>
  <w:style w:type="character">
    <w:name w:val="rStyle1"/>
    <w:rPr>
      <w:rFonts w:ascii="TH SarabunIT๙" w:hAnsi="TH SarabunIT๙" w:eastAsia="TH SarabunIT๙" w:cs="TH SarabunIT๙"/>
      <w:sz w:val="32"/>
      <w:szCs w:val="32"/>
    </w:rPr>
  </w:style>
  <w:style w:type="character">
    <w:name w:val="rStyle2"/>
    <w:rPr>
      <w:rFonts w:ascii="TH SarabunIT๙" w:hAnsi="TH SarabunIT๙" w:eastAsia="TH SarabunIT๙" w:cs="TH SarabunIT๙"/>
      <w:sz w:val="32"/>
      <w:szCs w:val="32"/>
      <w:u w:val="single"/>
    </w:rPr>
  </w:style>
  <w:style w:type="character">
    <w:name w:val="rStyle3"/>
    <w:rPr>
      <w:rFonts w:ascii="TH SarabunIT๙" w:hAnsi="TH SarabunIT๙" w:eastAsia="TH SarabunIT๙" w:cs="TH SarabunIT๙"/>
      <w:sz w:val="24"/>
      <w:szCs w:val="24"/>
    </w:rPr>
  </w:style>
  <w:style w:type="character">
    <w:name w:val="rStyle4"/>
    <w:rPr>
      <w:rFonts w:ascii="TH SarabunIT๙" w:hAnsi="TH SarabunIT๙" w:eastAsia="TH SarabunIT๙" w:cs="TH SarabunIT๙"/>
      <w:sz w:val="28"/>
      <w:szCs w:val="28"/>
      <w:b w:val="1"/>
      <w:bCs w:val="1"/>
    </w:rPr>
  </w:style>
  <w:style w:type="character">
    <w:name w:val="rStyle5"/>
    <w:rPr>
      <w:rFonts w:ascii="TH SarabunIT๙" w:hAnsi="TH SarabunIT๙" w:eastAsia="TH SarabunIT๙" w:cs="TH SarabunIT๙"/>
      <w:sz w:val="32"/>
      <w:szCs w:val="32"/>
      <w:b w:val="1"/>
      <w:bCs w:val="1"/>
    </w:rPr>
  </w:style>
  <w:style w:type="character">
    <w:name w:val="rStyle6"/>
    <w:rPr>
      <w:rFonts w:ascii="TH SarabunIT๙" w:hAnsi="TH SarabunIT๙" w:eastAsia="TH SarabunIT๙" w:cs="TH SarabunIT๙"/>
      <w:sz w:val="28"/>
      <w:szCs w:val="28"/>
    </w:rPr>
  </w:style>
  <w:style w:type="paragraph" w:customStyle="1" w:styleId="pStyle">
    <w:name w:val="pStyle"/>
    <w:basedOn w:val="Normal"/>
    <w:pPr>
      <w:jc w:val="center"/>
      <w:spacing w:line="250" w:lineRule="auto"/>
    </w:pPr>
  </w:style>
  <w:style w:type="paragraph" w:customStyle="1" w:styleId="LeftStyle">
    <w:name w:val="LeftStyle"/>
    <w:basedOn w:val="Normal"/>
    <w:pPr>
      <w:jc w:val="left"/>
      <w:spacing w:line="300" w:lineRule="auto"/>
    </w:pPr>
  </w:style>
  <w:style w:type="paragraph" w:customStyle="1" w:styleId="LeftStyle0">
    <w:name w:val="LeftStyle0"/>
    <w:basedOn w:val="Normal"/>
    <w:pPr>
      <w:jc w:val="left"/>
      <w:spacing w:line="240" w:lineRule="auto"/>
    </w:pPr>
  </w:style>
  <w:style w:type="paragraph" w:customStyle="1" w:styleId="RightStyle">
    <w:name w:val="RightStyle"/>
    <w:basedOn w:val="Normal"/>
    <w:pPr>
      <w:jc w:val="right"/>
      <w:spacing w:after="0" w:line="250" w:lineRule="auto"/>
    </w:pPr>
  </w:style>
  <w:style w:type="paragraph" w:customStyle="1" w:styleId="pStyle1">
    <w:name w:val="pStyle1"/>
    <w:basedOn w:val="Normal"/>
    <w:pPr>
      <w:jc w:val="both"/>
      <w:spacing w:after="160" w:line="250" w:lineRule="auto"/>
    </w:pPr>
  </w:style>
  <w:style w:type="paragraph" w:customStyle="1" w:styleId="pStyle2">
    <w:name w:val="pStyle2"/>
    <w:basedOn w:val="Normal"/>
    <w:pPr>
      <w:jc w:val="both"/>
      <w:spacing w:after="0" w:line="250" w:lineRule="auto"/>
    </w:pPr>
  </w:style>
  <w:style w:type="paragraph" w:customStyle="1" w:styleId="pStyle3">
    <w:name w:val="pStyle3"/>
    <w:basedOn w:val="Normal"/>
    <w:pPr>
      <w:jc w:val="both"/>
      <w:spacing w:after="840" w:line="250" w:lineRule="auto"/>
    </w:pPr>
  </w:style>
  <w:style w:type="paragraph" w:customStyle="1" w:styleId="rightTab">
    <w:name w:val="rightTab"/>
    <w:basedOn w:val="Normal"/>
    <w:pPr>
      <w:tabs>
        <w:tab w:val="right" w:leader="none" w:pos="9000"/>
      </w:tabs>
    </w:pPr>
  </w:style>
  <w:style w:type="paragraph" w:styleId="Heading1">
    <w:link w:val="Heading1Char"/>
    <w:name w:val="heading 1"/>
    <w:basedOn w:val="Normal"/>
    <w:pPr>
      <w:jc w:val="center"/>
      <w:spacing w:line="250" w:lineRule="auto"/>
    </w:pPr>
    <w:rPr>
      <w:rFonts w:ascii="TH SarabunIT๙" w:hAnsi="TH SarabunIT๙" w:eastAsia="TH SarabunIT๙" w:cs="TH SarabunIT๙"/>
      <w:sz w:val="40"/>
      <w:szCs w:val="40"/>
      <w:b w:val="1"/>
      <w:bCs w:val="1"/>
    </w:rPr>
  </w:style>
  <w:style w:type="paragraph" w:styleId="Heading2">
    <w:link w:val="Heading2Char"/>
    <w:name w:val="heading 2"/>
    <w:basedOn w:val="Normal"/>
    <w:pPr>
      <w:jc w:val="center"/>
      <w:spacing w:line="250" w:lineRule="auto"/>
    </w:pPr>
    <w:rPr>
      <w:rFonts w:ascii="TH SarabunIT๙" w:hAnsi="TH SarabunIT๙" w:eastAsia="TH SarabunIT๙" w:cs="TH SarabunIT๙"/>
      <w:sz w:val="32"/>
      <w:szCs w:val="32"/>
      <w:b w:val="1"/>
      <w:bCs w:val="1"/>
    </w:rPr>
  </w:style>
  <w:style w:type="paragraph" w:styleId="Heading3">
    <w:link w:val="Heading3Char"/>
    <w:name w:val="heading 3"/>
    <w:rPr>
      <w:rFonts w:ascii="TH SarabunIT๙" w:hAnsi="TH SarabunIT๙" w:eastAsia="TH SarabunIT๙" w:cs="TH SarabunIT๙"/>
      <w:sz w:val="32"/>
      <w:szCs w:val="32"/>
      <w:b w:val="1"/>
      <w:bCs w:val="1"/>
    </w:rPr>
  </w:style>
  <w:style w:type="table" w:customStyle="1" w:styleId="Fancy Table">
    <w:name w:val="Fancy Table"/>
    <w:uiPriority w:val="99"/>
    <w:tblPr>
      <w:tblW w:w="0" w:type="auto"/>
      <w:tblLayout w:type="autofit"/>
      <w:bidiVisual w:val="0"/>
      <w:tblCellMar>
        <w:top w:w="20" w:type="dxa"/>
        <w:left w:w="20" w:type="dxa"/>
        <w:right w:w="20" w:type="dxa"/>
        <w:bottom w:w="2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 w:type="table" w:customStyle="1" w:styleId="Fancy Table Noborder">
    <w:name w:val="Fancy Table Noborder"/>
    <w:uiPriority w:val="99"/>
    <w:tblPr>
      <w:tblW w:w="0" w:type="auto"/>
      <w:tblLayout w:type="autofit"/>
      <w:bidiVisual w:val="0"/>
      <w:tblCellMar>
        <w:top w:w="20" w:type="dxa"/>
        <w:left w:w="20" w:type="dxa"/>
        <w:right w:w="20" w:type="dxa"/>
        <w:bottom w:w="20" w:type="dxa"/>
      </w:tblCellMar>
      <w:tblBorders>
        <w:top w:val="single" w:sz="0" w:color="000000"/>
        <w:left w:val="single" w:sz="0" w:color="000000"/>
        <w:right w:val="single" w:sz="0" w:color="000000"/>
        <w:bottom w:val="single" w:sz="0" w:color="000000"/>
        <w:insideH w:val="single" w:sz="0" w:color="000000"/>
        <w:insideV w:val="single" w:sz="0" w:color="000000"/>
      </w:tblBorders>
    </w:tblPr>
  </w:style>
  <w:style w:type="paragraph" w:customStyle="1" w:styleId="tCStyle">
    <w:name w:val="tCStyle"/>
    <w:basedOn w:val="Normal"/>
    <w:pPr>
      <w:jc w:val="center"/>
      <w:spacing w:after="6" w:line="300" w:lineRule="auto"/>
    </w:pPr>
  </w:style>
  <w:style w:type="paragraph" w:customStyle="1" w:styleId="tLeftStyle">
    <w:name w:val="tLeftStyle"/>
    <w:basedOn w:val="Normal"/>
    <w:pPr>
      <w:jc w:val="left"/>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2026-09-11T06:59:06+07:00</dcterms:created>
  <dcterms:modified xsi:type="dcterms:W3CDTF">2026-09-11T06:59:06+07:00</dcterms:modified>
</cp:coreProperties>
</file>

<file path=docProps/custom.xml><?xml version="1.0" encoding="utf-8"?>
<Properties xmlns="http://schemas.openxmlformats.org/officeDocument/2006/custom-properties" xmlns:vt="http://schemas.openxmlformats.org/officeDocument/2006/docPropsVTypes"/>
</file>