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</w:tcPr>
          <w:p>
            <w:pPr>
              <w:pStyle w:val="tCStyle"/>
            </w:pPr>
            <w:r>
              <w:rPr>
                <w:rStyle w:val="rhStyle"/>
              </w:rPr>
              <w:t xml:space="preserve">บันทึกข้อความ</w:t>
            </w:r>
          </w:p>
        </w:tc>
      </w:tr>
    </w:tbl>
    <w:p>
      <w:pPr/>
      <w:r>
        <w:rPr>
          <w:rStyle w:val="rStyle"/>
        </w:rPr>
        <w:t xml:space="preserve">ส่วนงาน</w:t>
      </w:r>
      <w:r>
        <w:rPr>
          <w:rStyle w:val="rStyle1"/>
        </w:rPr>
        <w:t xml:space="preserve"> คณะวิทยาการจัดการ มหาวิทยาลัยเกษตรศาสตร์ วิทยาเขตศรีราชา โทร 661141-42</w:t>
      </w:r>
    </w:p>
    <w:p>
      <w:pPr/>
      <w:r>
        <w:rPr>
          <w:rStyle w:val="rStyle"/>
        </w:rPr>
        <w:t xml:space="preserve">ที่</w:t>
      </w:r>
      <w:r>
        <w:rPr>
          <w:rStyle w:val="rStyle1"/>
        </w:rPr>
        <w:t xml:space="preserve">          อว 6503.03/</w:t>
      </w:r>
      <w:r>
        <w:rPr/>
        <w:t xml:space="preserve">                                             </w:t>
      </w:r>
      <w:r>
        <w:rPr>
          <w:rStyle w:val="rStyle"/>
        </w:rPr>
        <w:t xml:space="preserve">วันที่    </w:t>
      </w:r>
      <w:r>
        <w:rPr>
          <w:rStyle w:val="rStyle1"/>
        </w:rPr>
        <w:t xml:space="preserve">12   ตุลาคม   2569</w:t>
      </w:r>
    </w:p>
    <w:p>
      <w:pPr/>
      <w:r>
        <w:rPr>
          <w:rStyle w:val="rStyle"/>
        </w:rPr>
        <w:t xml:space="preserve">เรื่อง</w:t>
      </w:r>
      <w:r>
        <w:rPr>
          <w:rStyle w:val="rStyle1"/>
        </w:rPr>
        <w:t xml:space="preserve">      ขออนุมัติหลักการ "โครงการประสานความสัมพันธ์และเสริมสร้างความร่วมมือกับสถาบันต่างประเทศ ในส่วนของงานประสานงาน ต้อนรับ เยี่ยมเยือน หน่วยงานคู่สัญญาฯ"</w:t>
      </w:r>
    </w:p>
    <w:p>
      <w:pPr/>
      <w:r>
        <w:pict>
          <v:shape id="_x0000_s1006" type="#_x0000_t32" style="width:600pt; height:0pt; margin-left:0pt; margin-top:0pt; position:absolute; mso-position-horizontal:left; mso-position-vertical:top; mso-position-horizontal-relative:char; mso-position-vertical-relative:line;">
            <w10:wrap type="inline" anchorx="page" anchory="page"/>
            <v:stroke weight="1pt"/>
          </v:shape>
        </w:pict>
      </w:r>
    </w:p>
    <w:p>
      <w:pPr/>
      <w:r>
        <w:rPr>
          <w:rStyle w:val="rStyle"/>
        </w:rPr>
        <w:t xml:space="preserve">เรียน</w:t>
      </w:r>
      <w:r>
        <w:rPr>
          <w:rStyle w:val="rStyle1"/>
        </w:rPr>
        <w:t xml:space="preserve">      คณบดีคณะวิทยาการจัดการ</w:t>
      </w:r>
    </w:p>
    <w:p>
      <w:pPr>
        <w:pStyle w:val="pStyle1"/>
      </w:pPr>
      <w:r>
        <w:rPr>
          <w:rStyle w:val="rStyle1"/>
        </w:rPr>
        <w:t xml:space="preserve">            ด้วยคณะวิทยาการจัดการ กำหนดจัด โครงการประสานความสัมพันธ์และเสริมสร้างความร่วมมือกับสถาบันต่างประเทศ ในส่วนของงานประสานงาน ต้อนรับ เยี่ยมเยือน หน่วยงานคู่สัญญาฯ ตั้งแต่ 1 ตุลาคม 2567 ถึง 30 กันยายน 2568 ตามเอกสารข้อเสนอโครงการแนบ</w:t>
      </w:r>
    </w:p>
    <w:p>
      <w:pPr>
        <w:pStyle w:val="pStyle1"/>
      </w:pPr>
      <w:r>
        <w:rPr>
          <w:rStyle w:val="rStyle1"/>
        </w:rPr>
        <w:t xml:space="preserve">            ในการนี้จึงใคร่ขออนุมัติหลักการ เพื่อจัดโครงการดังกล่าว ฯ โดยใช้เงินงบประมาณรายได้ปี 2568 มีวัตถุประสงค์ดังนี้  1. เพื่อต้อนรับและอำนวยความสะดวกให้กับแขกจากต่างประเทศ หรือผู้ประสานงานที่เกี่ยวข้องกับโครงการประสานความสัมพันธ์และเสริมสร้างความร่วมมือกับสถาบันต่างประเทศ ที่เดินทางมาเยี่ยมเยือนคณะวิทยาการจัดการ 2. เพื่อจัดกิจกรรมเยี่ยมเยือนสถาบันการศึกษาหรือหน่วยงานอื่น ๆ ในต่างประเทศ ที่เกี่ยวข้องกับโครงการประสานความสัมพันธ์และเสริมสร้างความร่วมมือกับสถาบันต่างประเทศ  3. เพื่อเป็นการสร้างสัมพันธไมตรีอันดี ซึ่งจะเอื้อให้เกิดการสร้างความร่วมมือและเครือข่ายทางวิชาการที่เข้มแข็งระหว่างสถาบันที่มีแผนจะริเริ่มขึ้น  4. เพื่อเป็นการสร้างภาพลักษณ์ด้านความเป็นสากลให้กับคณะฯ  และมีกลุ่มเป้าหมาย 28 คน ใช้เงินของหน่วยงาน คณะกรรมการวิเทศสัมพันธ์ เป็นจำนวนเงิน 3,000,000 บาท (สามล้านบาทถ้วน)</w:t>
      </w:r>
    </w:p>
    <w:p>
      <w:pPr>
        <w:pStyle w:val="pStyle3"/>
      </w:pPr>
      <w:r>
        <w:rPr>
          <w:rStyle w:val="rStyle1"/>
        </w:rPr>
        <w:t xml:space="preserve">            จึงเรียนมาเพื่อโปรดพิจารณาอนุมัติหลักการ</w:t>
      </w:r>
    </w:p>
    <w:p>
      <w:pPr>
        <w:pStyle w:val="pStyle2"/>
      </w:pPr>
      <w:r>
        <w:rPr>
          <w:rStyle w:val="rStyle1"/>
        </w:rPr>
        <w:t xml:space="preserve">                                                                             ()</w:t>
      </w:r>
    </w:p>
    <w:p>
      <w:pPr>
        <w:pStyle w:val="pStyle1"/>
      </w:pPr>
      <w:r>
        <w:rPr>
          <w:rStyle w:val="rStyle1"/>
        </w:rPr>
        <w:t xml:space="preserve">                                                                        ตำแหน่ง </w:t>
      </w:r>
    </w:p>
    <w:tbl>
      <w:tblGrid>
        <w:gridCol w:w="2600" w:type="dxa"/>
        <w:gridCol w:w="3200" w:type="dxa"/>
        <w:gridCol w:w="2500" w:type="dxa"/>
        <w:gridCol w:w="2300" w:type="dxa"/>
      </w:tblGrid>
      <w:tblPr>
        <w:tblStyle w:val="Fancy Table"/>
      </w:tblPr>
      <w:tr>
        <w:trPr>
          <w:trHeight w:val="200" w:hRule="atLeast"/>
        </w:trPr>
        <w:tc>
          <w:tcPr>
            <w:tcW w:w="26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br/>
                          ................................
                <w:br/>
                       หัวหน้า/ประธานหลักสูตร
                <w:br/>
                               ...../...../.....
              </w:t>
            </w:r>
          </w:p>
        </w:tc>
        <w:tc>
          <w:tcPr>
            <w:tcW w:w="32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งานนโยบายและแผน
                <w:br/>
                ได้ตรวจสอบแล้ว..................
                <w:br/>
                <w:sym w:font="Wingdings" w:char="F0A8"/>
                 มีแผนการดำเนินงานประจำปีงบประมาณ
                <w:br/>
                หมวดงบประมาณในระบบ ERP
                <w:br/>
                หน่วยงาน..........................
                <w:br/>
                มิติโครงการ..........................
                <w:br/>
                งบคงเหลือ.........................บาท
                <w:br/>
                <w:sym w:font="Wingdings" w:char="F0A8"/>
                 ไม่มีแผนการดำเนินงานประจำปีงบประมาณ
                <w:br/>
                <w:br/>
                                    ...........................
                <w:br/>
                               นักวิเคราะห์นโยบายฯ
                <w:br/>
                                        ...../...../.....
              </w:t>
            </w:r>
          </w:p>
        </w:tc>
        <w:tc>
          <w:tcPr>
            <w:tcW w:w="25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sym w:font="Wingdings" w:char="F0A8"/>
                 เห็นสมควรอนุมัติ
                <w:br/>
                <w:sym w:font="Wingdings" w:char="F0A8"/>
                 เห็นควรให้มีการปรับปรุง รายละเอียดโครงการ/งบประมาณ ก่อนเสนอพิจารณาต่อไป
                <w:br/>
                <w:br/>
                <w:br/>
                     ......................................
                <w:br/>
                   (ผศ.ดร.อัควรรณ์  แสงวิภาค)
                <w:br/>
                 รองคณบดีฝ่ายบริหาร
                <w:br/>
                            ...../......./......
              </w:t>
            </w:r>
          </w:p>
        </w:tc>
        <w:tc>
          <w:tcPr>
            <w:tcW w:w="2300" w:type="dxa"/>
            <w:vAlign w:val="top"/>
          </w:tcPr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4"/>
              </w:rPr>
              <w:t xml:space="preserve">อนุมัติหลักการ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......................................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(ดร.จุมพฏ บริราช)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คณบดีคณะวิทยาการจัดการ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...../......./......</w:t>
            </w:r>
          </w:p>
        </w:tc>
      </w:tr>
    </w:tbl>
    <w:p>
      <w:r>
        <w:br w:type="page"/>
      </w:r>
    </w:p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  <w:vAlign w:val="top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  <w:vAlign w:val="top"/>
          </w:tcPr>
          <w:p>
            <w:pPr>
              <w:pStyle w:val="tCStyle"/>
            </w:pPr>
            <w:r>
              <w:rPr>
                <w:rStyle w:val="rStyle"/>
              </w:rPr>
              <w:t xml:space="preserve">
                โครงการ โครงการประสานความสัมพันธ์และเสริมสร้างความร่วมมือกับสถาบันต่างประเทศ ในส่วนของงานประสานงาน ต้อนรับ เยี่ยมเยือน หน่วยงานคู่สัญญาฯ
                <w:br/>
                ประจำปีงบประมาณ 
              </w:t>
            </w:r>
          </w:p>
        </w:tc>
      </w:tr>
    </w:tbl>
    <w:p>
      <w:pPr>
        <w:pStyle w:val="Heading3"/>
      </w:pPr>
      <w:bookmarkStart w:id="1" w:name="_Toc1"/>
      <w:r>
        <w:t>1. หลักการและเหตุผล</w:t>
      </w:r>
      <w:bookmarkEnd w:id="1"/>
    </w:p>
    <w:p>
      <w:pPr>
        <w:pStyle w:val="pStyle1"/>
      </w:pPr>
      <w:r>
        <w:rPr>
          <w:rStyle w:val="rStyle1"/>
        </w:rPr>
        <w:t xml:space="preserve">	ด้วยคณะวิทยาการจัดการ มหาวิทยาลัยเกษตรศาสตร์ วิทยาเขตศรีราชา มีภารกิจที่จะสร้างเครือข่ายในการแลกเปลี่ยนองค์ความรู้ทางวิชาการ เพื่อเสริมสร้างความเข้มแข็งทางการศึกษา โดยมุ่งเน้นที่จะสร้างเครือข่ายทางวิชาการกับสถาบันและหน่วยงานด้านการศึกษา ทั้งในประเทศและต่างประเทศ อันเป็นหนึ่งในภารกิจหลักของคณะฯ ในการสนับสนุนและนำไปสู่ความเป็นเลิศทางวิชาการตามวิสัยทัศน์ของคณะฯ 
ดังนั้น เพื่อให้การสร้างเครือข่ายในการแลกเปลี่ยนองค์ความรู้ทางวิชาการร่วมกับองค์กรต่าง ๆ ที่เกี่ยวข้องตามที่กล่าวถึงในข้างต้นเป็นไปด้วยความราบรื่น คณะฯ จึงกำหนดภารกิจในการให้การต้อนรับแขกผู้มาเยือนจากองค์กรที่เกี่ยวข้องที่จะเดินทางมาเยี่ยมเยือนคณะฯ รวมถึงภารกิจที่จะนำบุคลากรภายในคณะฯ เดินทางเยี่ยมเยือนองค์กรที่เกี่ยวข้อง โดยเฉพาะอย่างยิ่งองค์กรในต่างประเทศ ซึ่งมีเป้าหมายหลักเพื่อมุ่งริเริ่มความสัมพันธ์และสร้างความสะดวกในการติดต่อประสานงานระหว่างคณะฯ และองค์กรต่าง ๆ ในต่างประเทศ อันจะเอื้อประโยชน์ต่อการริเริ่มกิจกรรมทางวิชาการสำหรับนิสิตและบุคลากรที่เกี่ยวข้องกับการศึกษา ให้มีโอกาสได้เก็บเกี่ยวประสบการณ์ในบริบทความเป็นนานาชาติ รวมถึงยังเป็นโอกาสในการประชาสัมพันธ์คณะฯ ให้เป็นที่รู้จักในระดับสากล</w:t>
      </w:r>
    </w:p>
    <w:p>
      <w:pPr>
        <w:pStyle w:val="pStyle1"/>
      </w:pPr>
      <w:r>
        <w:rPr>
          <w:rStyle w:val="rStyle1"/>
        </w:rPr>
        <w:t xml:space="preserve">
          ลักษณะโครงการ 
          <w:sym w:font="Wingdings" w:char="F0FE"/>
           โครงการต่อเนื่อง 
          <w:sym w:font="Wingdings" w:char="F0A8"/>
           โครงการใหม่
        </w:t>
      </w:r>
    </w:p>
    <w:p>
      <w:pPr>
        <w:pStyle w:val="pStyle1"/>
      </w:pPr>
      <w:r>
        <w:rPr>
          <w:rStyle w:val="rStyle1"/>
        </w:rPr>
        <w:t xml:space="preserve">ปัญหาอุปสรรคและแนวทางการแก้ไขปัญหาในการจัดครั้งที่ผ่านมา</w:t>
      </w:r>
    </w:p>
    <w:p>
      <w:pPr>
        <w:pStyle w:val="pStyle1"/>
      </w:pPr>
      <w:r>
        <w:rPr>
          <w:rStyle w:val="rStyle1"/>
        </w:rPr>
        <w:t xml:space="preserve">	1 -</w:t>
      </w:r>
    </w:p>
    <w:p>
      <w:pPr>
        <w:pStyle w:val="Heading3"/>
      </w:pPr>
      <w:bookmarkStart w:id="2" w:name="_Toc2"/>
      <w:r>
        <w:t>2. สอดคล้องกับยุทธศาสตร์และเป้าประสงค์</w:t>
      </w:r>
      <w:bookmarkEnd w:id="2"/>
    </w:p>
    <w:tbl>
      <w:tblGrid>
        <w:gridCol w:w="2500" w:type="dxa"/>
        <w:gridCol w:w="2500" w:type="dxa"/>
        <w:gridCol w:w="2500" w:type="dxa"/>
        <w:gridCol w:w="2500" w:type="dxa"/>
      </w:tblGrid>
      <w:tblPr>
        <w:tblStyle w:val="Fancy Table"/>
      </w:tblPr>
      <w:tr>
        <w:trPr>
          <w:trHeight w:val="200" w:hRule="atLeast"/>
        </w:trPr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1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2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3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4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วัตถุประสงค์เชิงกลยุทธ์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กลยุทธ์ระดับหน้าที่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</w:tbl>
    <w:p>
      <w:pPr/>
      <w:r>
        <w:rPr>
          <w:rStyle w:val="rStyle3"/>
        </w:rPr>
        <w:t xml:space="preserve">
          <w:br/>
        </w:t>
      </w:r>
      <w:r>
        <w:rPr>
          <w:rStyle w:val="rStyle5"/>
        </w:rPr>
        <w:t xml:space="preserve">3. สอดคล้องกับแผนงาน (เลือกเพียง 1 แผนงานเท่านั้น)</w:t>
      </w:r>
    </w:p>
    <w:tbl>
      <w:tblGrid>
        <w:gridCol w:w="5000" w:type="dxa"/>
        <w:gridCol w:w="5000" w:type="dxa"/>
      </w:tblGrid>
      <w:tblPr>
        <w:tblStyle w:val=""/>
      </w:tblP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แผนงานพัฒนานิสิต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FE"/>
                 แผนงานวิเทศสัมพันธ์และความร่วมมือ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แผนงานพัฒนาการเรียนการสอน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แผนงานบริการวิชาการ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แผนงานพัฒนาบุคลากร 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แผนงานบริหารจัดการ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แผนงานพัฒนาและส่งเสริมการวิจัย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แผนงานทำนุบำรุงศิลปะและวัฒนธรรม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แผนงานประชาสัมพันธ์และส่งเสริมภาพลักษณ์องค์กร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แผนงานพัฒนากายภาพ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แผนงานระบบสารสนเทศ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แผนพัฒนางานประกันคุณภาพ
              </w:t>
            </w:r>
          </w:p>
        </w:tc>
      </w:tr>
    </w:tbl>
    <w:p>
      <w:pPr>
        <w:pStyle w:val="Heading3"/>
      </w:pPr>
      <w:bookmarkStart w:id="3" w:name="_Toc3"/>
      <w:r>
        <w:t>4. วัตถุประสงค์โครงการ</w:t>
      </w:r>
      <w:bookmarkEnd w:id="3"/>
    </w:p>
    <w:p>
      <w:pPr>
        <w:pStyle w:val="pStyle2"/>
      </w:pPr>
      <w:r>
        <w:rPr>
          <w:rStyle w:val="rStyle1"/>
        </w:rPr>
        <w:t xml:space="preserve">	1. เพื่อต้อนรับและอำนวยความสะดวกให้กับแขกจากต่างประเทศ หรือผู้ประสานงานที่เกี่ยวข้องกับโครงการประสานความสัมพันธ์และเสริมสร้างความร่วมมือกับสถาบันต่างประเทศ ที่เดินทางมาเยี่ยมเยือนคณะวิทยาการจัดการ</w:t>
      </w:r>
    </w:p>
    <w:p>
      <w:pPr>
        <w:pStyle w:val="pStyle2"/>
      </w:pPr>
      <w:r>
        <w:rPr>
          <w:rStyle w:val="rStyle1"/>
        </w:rPr>
        <w:t xml:space="preserve">	2. เพื่อจัดกิจกรรมเยี่ยมเยือนสถาบันการศึกษาหรือหน่วยงานอื่น ๆ ในต่างประเทศ ที่เกี่ยวข้องกับโครงการประสานความสัมพันธ์และเสริมสร้างความร่วมมือกับสถาบันต่างประเทศ </w:t>
      </w:r>
    </w:p>
    <w:p>
      <w:pPr>
        <w:pStyle w:val="pStyle2"/>
      </w:pPr>
      <w:r>
        <w:rPr>
          <w:rStyle w:val="rStyle1"/>
        </w:rPr>
        <w:t xml:space="preserve">	3. เพื่อเป็นการสร้างสัมพันธไมตรีอันดี ซึ่งจะเอื้อให้เกิดการสร้างความร่วมมือและเครือข่ายทางวิชาการที่เข้มแข็งระหว่างสถาบันที่มีแผนจะริเริ่มขึ้น </w:t>
      </w:r>
    </w:p>
    <w:p>
      <w:pPr>
        <w:pStyle w:val="pStyle1"/>
      </w:pPr>
      <w:r>
        <w:rPr>
          <w:rStyle w:val="rStyle1"/>
        </w:rPr>
        <w:t xml:space="preserve">	4. เพื่อเป็นการสร้างภาพลักษณ์ด้านความเป็นสากลให้กับคณะฯ </w:t>
      </w:r>
    </w:p>
    <w:p>
      <w:pPr>
        <w:pStyle w:val="Heading3"/>
      </w:pPr>
      <w:bookmarkStart w:id="4" w:name="_Toc4"/>
      <w:r>
        <w:t>5. กลุ่มเป้าหมายดำเนินการ</w:t>
      </w:r>
      <w:bookmarkEnd w:id="4"/>
    </w:p>
    <w:p>
      <w:pPr>
        <w:pStyle w:val="pStyle2"/>
      </w:pPr>
      <w:r>
        <w:rPr>
          <w:rStyle w:val="rStyle1"/>
        </w:rPr>
        <w:t xml:space="preserve">	บุคลากรสายวิชาการ (10 คน)</w:t>
      </w:r>
    </w:p>
    <w:p>
      <w:pPr>
        <w:pStyle w:val="pStyle2"/>
      </w:pPr>
      <w:r>
        <w:rPr>
          <w:rStyle w:val="rStyle1"/>
        </w:rPr>
        <w:t xml:space="preserve">	บุคลากรสายสนับสนุน (18 คน)</w:t>
      </w:r>
    </w:p>
    <w:p>
      <w:pPr>
        <w:pStyle w:val="LeftStyle"/>
      </w:pPr>
      <w:r>
        <w:rPr>
          <w:rStyle w:val="rStyle5"/>
        </w:rPr>
        <w:t xml:space="preserve">6. วิธีการดำเนินการ</w:t>
      </w:r>
    </w:p>
    <w:p>
      <w:pPr/>
      <w:r>
        <w:rPr>
          <w:rStyle w:val="rStyle1"/>
        </w:rPr>
        <w:t xml:space="preserve"> -</w:t>
      </w:r>
    </w:p>
    <w:p>
      <w:pPr/>
      <w:r>
        <w:rPr>
          <w:rStyle w:val="rStyle5"/>
        </w:rPr>
        <w:t xml:space="preserve">7. หน่วยงานที่รับผิดชอบโครงการ </w:t>
      </w:r>
      <w:r>
        <w:rPr>
          <w:rStyle w:val="rStyle1"/>
        </w:rPr>
        <w:t xml:space="preserve">คณะกรรมการวิเทศสัมพันธ์</w:t>
      </w:r>
    </w:p>
    <w:p>
      <w:pPr/>
      <w:r>
        <w:rPr>
          <w:rStyle w:val="rStyle5"/>
        </w:rPr>
        <w:t xml:space="preserve">8. ผู้จัดทำโครงการ </w:t>
      </w:r>
      <w:r>
        <w:rPr>
          <w:rStyle w:val="rStyle1"/>
        </w:rPr>
        <w:t xml:space="preserve">กิติยา ทัศนะบรรจง</w:t>
      </w:r>
    </w:p>
    <w:p>
      <w:pPr/>
      <w:r>
        <w:rPr>
          <w:rStyle w:val="rStyle5"/>
        </w:rPr>
        <w:t xml:space="preserve">9. ผู้จัดทำโครงการ (ร่วม) </w:t>
      </w:r>
      <w:r>
        <w:rPr>
          <w:rStyle w:val="rStyle1"/>
        </w:rPr>
        <w:t xml:space="preserve">แก้วสกุล สุพรรณชนะบุรี</w:t>
      </w:r>
      <w:r>
        <w:rPr>
          <w:rStyle w:val="rStyle1"/>
        </w:rPr>
        <w:t xml:space="preserve"> / </w:t>
      </w:r>
      <w:r>
        <w:rPr>
          <w:rStyle w:val="rStyle1"/>
        </w:rPr>
        <w:t xml:space="preserve">รดา อ่ำประเสริฐ</w:t>
      </w:r>
      <w:r>
        <w:rPr>
          <w:rStyle w:val="rStyle1"/>
        </w:rPr>
        <w:t xml:space="preserve"> / </w:t>
      </w:r>
      <w:r>
        <w:rPr>
          <w:rStyle w:val="rStyle1"/>
        </w:rPr>
        <w:t xml:space="preserve">ธนภัทร วิชาวุฒิพงษ์</w:t>
      </w:r>
      <w:r>
        <w:rPr>
          <w:rStyle w:val="rStyle1"/>
        </w:rPr>
        <w:t xml:space="preserve"> / </w:t>
      </w:r>
      <w:r>
        <w:rPr>
          <w:rStyle w:val="rStyle1"/>
        </w:rPr>
        <w:t xml:space="preserve">อภิญญา ถิระโชติกุล</w:t>
      </w:r>
      <w:r>
        <w:rPr>
          <w:rStyle w:val="rStyle1"/>
        </w:rPr>
        <w:t xml:space="preserve"> / </w:t>
      </w:r>
      <w:r>
        <w:rPr>
          <w:rStyle w:val="rStyle1"/>
        </w:rPr>
        <w:t xml:space="preserve">ฐิติมา ไชยะกุล</w:t>
      </w:r>
      <w:r>
        <w:rPr>
          <w:rStyle w:val="rStyle1"/>
        </w:rPr>
        <w:t xml:space="preserve"> / </w:t>
      </w:r>
      <w:r>
        <w:rPr>
          <w:rStyle w:val="rStyle1"/>
        </w:rPr>
        <w:t xml:space="preserve">ธิติศักดิ์ เดือดสันเทียะ</w:t>
      </w:r>
      <w:r>
        <w:rPr>
          <w:rStyle w:val="rStyle1"/>
        </w:rPr>
        <w:t xml:space="preserve"> / </w:t>
      </w:r>
      <w:r>
        <w:rPr>
          <w:rStyle w:val="rStyle1"/>
        </w:rPr>
        <w:t xml:space="preserve">สิริกุล ชีวะโกเศรษฐ</w:t>
      </w:r>
    </w:p>
    <w:p>
      <w:pPr>
        <w:pStyle w:val="Heading3"/>
      </w:pPr>
      <w:bookmarkStart w:id="5" w:name="_Toc5"/>
      <w:r>
        <w:t>10. วันและเวลาดำเนินการ</w:t>
      </w:r>
      <w:bookmarkEnd w:id="5"/>
    </w:p>
    <w:p>
      <w:pPr>
        <w:pStyle w:val="pStyle1"/>
      </w:pPr>
      <w:r>
        <w:rPr>
          <w:rStyle w:val="rStyle1"/>
        </w:rPr>
        <w:t xml:space="preserve">	เริ่มต้น 1 ตุลาคม 2567 สิ้นสุด 30 กันยายน 2568</w:t>
      </w:r>
    </w:p>
    <w:p>
      <w:pPr>
        <w:pStyle w:val="Heading3"/>
      </w:pPr>
      <w:bookmarkStart w:id="6" w:name="_Toc6"/>
      <w:r>
        <w:t>11. สถานที่ดำเนินการ</w:t>
      </w:r>
      <w:bookmarkEnd w:id="6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Heading3"/>
      </w:pPr>
      <w:bookmarkStart w:id="7" w:name="_Toc7"/>
      <w:r>
        <w:t>12. งบประมาณ</w:t>
      </w:r>
      <w:bookmarkEnd w:id="7"/>
    </w:p>
    <w:tbl>
      <w:tblGrid>
        <w:gridCol w:w="1000" w:type="dxa"/>
        <w:gridCol w:w="7000" w:type="dxa"/>
        <w:gridCol w:w="1500" w:type="dxa"/>
      </w:tblGrid>
      <w:tblPr>
        <w:tblStyle w:val="Fancy Table"/>
      </w:tblPr>
      <w:tr>
        <w:trPr>
          <w:trHeight w:val="200" w:hRule="atLeast"/>
          <w:tblHeader w:val="1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5"/>
              </w:rPr>
              <w:t xml:space="preserve">ลำดับที่</w:t>
            </w:r>
          </w:p>
        </w:tc>
        <w:tc>
          <w:tcPr>
            <w:tcW w:w="7000" w:type="dxa"/>
            <w:vAlign w:val="center"/>
          </w:tcPr>
          <w:p>
            <w:pPr>
              <w:pStyle w:val="tCStyle"/>
            </w:pPr>
            <w:r>
              <w:rPr>
                <w:rStyle w:val="rStyle5"/>
              </w:rPr>
              <w:t xml:space="preserve">รายการ</w:t>
            </w:r>
          </w:p>
        </w:tc>
        <w:tc>
          <w:tcPr>
            <w:tcW w:w="1500" w:type="dxa"/>
            <w:vAlign w:val="center"/>
          </w:tcPr>
          <w:p>
            <w:pPr>
              <w:pStyle w:val="tCStyle"/>
            </w:pPr>
            <w:r>
              <w:rPr>
                <w:rStyle w:val="rStyle5"/>
              </w:rPr>
              <w:t xml:space="preserve">ประมาณการ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1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กิจกรรมที่ 1 การต้อนรับ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2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ค่าใช้จ่ายในการติดต่อประสานงาน #1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2,000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3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ค่าที่พัก #1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80,000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4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ค่าพาหนะ #1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50,000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5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ค่าใช้จ่ายเลี้ยงรับรอง #1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300,000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6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ค่าใช้จ่ายเบ็ดเตล็ด #1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10,000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7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ค่าของที่ระลึก #1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30,000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8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หมายเหตุ: ถัวเฉลี่ยค่าใช้จ่ายทุกรายการ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9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กิจกรรมที่ 2 การเยี่ยมเยือน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10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ค่าใช้จ่ายในการติดต่อประสานงาน #2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20,000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11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ค่าที่พัก #2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600,000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12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ค่าตั๋วเครื่องบินไป-กลับ (ชั้นประหยัด)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800,000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13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ค่าใช้จ่ายเลี้ยงรับรอง #2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100,000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14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ค่าพาหนะ #2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388,000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15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ค่าเบี้ยเลิงเดินทางไปราชการต่างประเทศ #2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510,000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16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ค่าพาหนะระหว่างที่พัก-สนามบิน #2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50,000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17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ค่าใช้จ่ายอื่น (เช่น ค่าหนังสือเดินทางราชการ ค่าภาษีเดินทางออกนอกราชอาณาจักร ค่าการขอรับการตรวจลงตรา-VISA)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20,000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18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ค่าใช้สอยเบ็ดเตล็ด #2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10,000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19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ค่าของที่ระลึก #2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30,000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20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หมายเหตุ: ถัวเฉลี่ยค่าใช้จ่ายทุกรายการ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0</w:t>
            </w:r>
          </w:p>
        </w:tc>
      </w:tr>
      <w:tr>
        <w:trPr>
          <w:trHeight w:val="200" w:hRule="atLeast"/>
        </w:trPr>
        <w:tc>
          <w:tcPr>
            <w:tcW w:w="8000" w:type="dxa"/>
            <w:vAlign w:val="center"/>
            <w:gridSpan w:val="2"/>
          </w:tcPr>
          <w:p>
            <w:pPr>
              <w:pStyle w:val="tCStyle"/>
            </w:pPr>
            <w:r>
              <w:rPr>
                <w:rStyle w:val="rStyle5"/>
              </w:rPr>
              <w:t xml:space="preserve">รวมเป็นเงินทั้งสิ้น (บาท)</w:t>
            </w:r>
          </w:p>
        </w:tc>
        <w:tc>
          <w:tcPr>
            <w:tcW w:w="1500" w:type="dxa"/>
            <w:vAlign w:val="center"/>
          </w:tcPr>
          <w:p>
            <w:pPr>
              <w:pStyle w:val="tCStyle"/>
            </w:pPr>
            <w:r>
              <w:rPr>
                <w:rStyle w:val="rStyle5"/>
              </w:rPr>
              <w:t xml:space="preserve">3,000,000</w:t>
            </w:r>
          </w:p>
        </w:tc>
      </w:tr>
    </w:tbl>
    <w:p>
      <w:pPr>
        <w:pStyle w:val="LeftStyle"/>
      </w:pPr>
      <w:r>
        <w:rPr>
          <w:rStyle w:val="rStyle3"/>
        </w:rPr>
        <w:t xml:space="preserve">
          <w:br/>
        </w:t>
      </w:r>
    </w:p>
    <w:p>
      <w:pPr>
        <w:pStyle w:val="Heading3"/>
      </w:pPr>
      <w:bookmarkStart w:id="8" w:name="_Toc8"/>
      <w:r>
        <w:t>13. ประโยชน์ที่คาดว่าจะได้รับ</w:t>
      </w:r>
      <w:bookmarkEnd w:id="8"/>
    </w:p>
    <w:p>
      <w:pPr>
        <w:pStyle w:val="pStyle2"/>
      </w:pPr>
      <w:r>
        <w:rPr>
          <w:rStyle w:val="rStyle1"/>
        </w:rPr>
        <w:t xml:space="preserve">	1. คณะฯ ได้ยกระดับความสัมพันธ์กับภาคีเครือข่ายทางวิชาการในระดับนานาชาติให้เข้มแข็งมากขึ้น</w:t>
      </w:r>
    </w:p>
    <w:p>
      <w:pPr>
        <w:pStyle w:val="pStyle2"/>
      </w:pPr>
      <w:r>
        <w:rPr>
          <w:rStyle w:val="rStyle1"/>
        </w:rPr>
        <w:t xml:space="preserve">	2. คณะฯ ได้พัฒนาเครือข่ายความร่วมมือทางวิชาการระดับนานาชาติที่เข้มแข็ง</w:t>
      </w:r>
    </w:p>
    <w:p>
      <w:pPr>
        <w:pStyle w:val="pStyle2"/>
      </w:pPr>
      <w:r>
        <w:rPr>
          <w:rStyle w:val="rStyle1"/>
        </w:rPr>
        <w:t xml:space="preserve">	3. คณะฯ ได้มีโอกาสเจรจาหารือร่วมกับสถาบันในต่างประเทศ เพื่อริเริ่มโครงการทางวิชาการหรือโครงการสร้างเสริมทักษะและประสบการณ์สำหรับนิสิตและบุคลากร</w:t>
      </w:r>
    </w:p>
    <w:p>
      <w:pPr>
        <w:pStyle w:val="pStyle1"/>
      </w:pPr>
      <w:r>
        <w:rPr>
          <w:rStyle w:val="rStyle1"/>
        </w:rPr>
        <w:t xml:space="preserve">	4. คณะฯ ได้เสริมสร้างภาพลักษณ์ด้านความเป็นสากล</w:t>
      </w:r>
    </w:p>
    <w:p>
      <w:pPr>
        <w:pStyle w:val="Heading3"/>
      </w:pPr>
      <w:bookmarkStart w:id="9" w:name="_Toc9"/>
      <w:r>
        <w:t>14. ตัวบ่งชี้ความสำเร็จของโครงการ</w:t>
      </w:r>
      <w:bookmarkEnd w:id="9"/>
    </w:p>
    <w:p>
      <w:pPr>
        <w:pStyle w:val="pStyle1"/>
      </w:pPr>
      <w:r>
        <w:rPr>
          <w:rStyle w:val="rStyle1"/>
        </w:rPr>
        <w:t xml:space="preserve">	14.1 ตัวบ่งชี้เชิงปริมาณ</w:t>
      </w:r>
    </w:p>
    <w:p>
      <w:pPr>
        <w:pStyle w:val="pStyle1"/>
      </w:pPr>
      <w:r>
        <w:rPr>
          <w:rStyle w:val="rStyle1"/>
        </w:rPr>
        <w:t xml:space="preserve">		14.1.1 -</w:t>
      </w:r>
    </w:p>
    <w:p>
      <w:pPr>
        <w:pStyle w:val="pStyle1"/>
      </w:pPr>
      <w:r>
        <w:rPr>
          <w:rStyle w:val="rStyle1"/>
        </w:rPr>
        <w:t xml:space="preserve">	14.2 ตัวบ่งชี้เชิงคุณภาพ</w:t>
      </w:r>
    </w:p>
    <w:p>
      <w:pPr>
        <w:pStyle w:val="pStyle1"/>
      </w:pPr>
      <w:r>
        <w:rPr>
          <w:rStyle w:val="rStyle1"/>
        </w:rPr>
        <w:t xml:space="preserve">		14.2.1 -</w:t>
      </w:r>
    </w:p>
    <w:p>
      <w:pPr>
        <w:pStyle w:val="Heading3"/>
      </w:pPr>
      <w:bookmarkStart w:id="10" w:name="_Toc10"/>
      <w:r>
        <w:t>15. ผลการดำเนินการของโครงการสามารถตอบผลลัพธ์การดำเนินงานตามเกณฑ์ EdPEx ด้านใด</w:t>
      </w:r>
      <w:bookmarkEnd w:id="10"/>
    </w:p>
    <w:p>
      <w:pPr>
        <w:pStyle w:val="pStyle1"/>
      </w:pPr>
      <w:r>
        <w:rPr>
          <w:rStyle w:val="rStyle1"/>
        </w:rPr>
        <w:t xml:space="preserve">
          <w:sym w:font="Wingdings" w:char="F0FE"/>
            ตัวชี้วัด คือ
        </w:t>
      </w:r>
    </w:p>
    <w:p>
      <w:pPr>
        <w:pStyle w:val="Heading3"/>
      </w:pPr>
      <w:bookmarkStart w:id="11" w:name="_Toc11"/>
      <w:r>
        <w:t>16. การวิเคราะห์และบริหารความเสี่ยง (เลือกอย่างน้อย 1 ด้าน)</w:t>
      </w:r>
      <w:bookmarkEnd w:id="11"/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การวิเคราะห์ความเสี่ยงด้านกลยุทธ์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การวิเคราะห์ความเสี่ยงด้านการดำเนินงาน (การดำเนินงาน/จรรยาบรรณ)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การวิเคราะห์ความเสี่ยงด้านทรัพยากร (คน/เงิน/วัสดุ) 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FE"/>
           การวิเคราะห์ความเสี่ยงด้านเหตุการณ์ภายนอก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โรคระบาด สถานการณ์การเมืองระหว่างประเทศ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เร่งดำเนินการในช่วงเวลาปกติ กรณีที่เหตุการณ์ที่เป็นความเสี่ยงนั้นส่งผลกระทบโดยฉับพลัน จะมีการหารือร่วมกับสถาบันต่างประเทศที่ได้ติดต่อประสานงานไว้ เพื่อหาแนวทางแก้ปัญหาที่เหมาะสมกับบริบทของแต่ละฝ่าย</w:t>
      </w:r>
    </w:p>
    <w:sectPr>
      <w:pgSz w:orient="portrait" w:w="11905.511811023622" w:h="16837.79527559055"/>
      <w:pgMar w:top="800" w:right="1000" w:bottom="6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hStyle"/>
    <w:rPr>
      <w:rFonts w:ascii="TH SarabunIT๙" w:hAnsi="TH SarabunIT๙" w:eastAsia="TH SarabunIT๙" w:cs="TH SarabunIT๙"/>
      <w:sz w:val="70"/>
      <w:szCs w:val="70"/>
      <w:b w:val="1"/>
      <w:bCs w:val="1"/>
    </w:rPr>
  </w:style>
  <w:style w:type="character">
    <w:name w:val="rStyle"/>
    <w:rPr>
      <w:rFonts w:ascii="TH SarabunIT๙" w:hAnsi="TH SarabunIT๙" w:eastAsia="TH SarabunIT๙" w:cs="TH SarabunIT๙"/>
      <w:sz w:val="36"/>
      <w:szCs w:val="36"/>
      <w:b w:val="1"/>
      <w:bCs w:val="1"/>
    </w:rPr>
  </w:style>
  <w:style w:type="character">
    <w:name w:val="rStyle1"/>
    <w:rPr>
      <w:rFonts w:ascii="TH SarabunIT๙" w:hAnsi="TH SarabunIT๙" w:eastAsia="TH SarabunIT๙" w:cs="TH SarabunIT๙"/>
      <w:sz w:val="32"/>
      <w:szCs w:val="32"/>
    </w:rPr>
  </w:style>
  <w:style w:type="character">
    <w:name w:val="rStyle2"/>
    <w:rPr>
      <w:rFonts w:ascii="TH SarabunIT๙" w:hAnsi="TH SarabunIT๙" w:eastAsia="TH SarabunIT๙" w:cs="TH SarabunIT๙"/>
      <w:sz w:val="32"/>
      <w:szCs w:val="32"/>
      <w:u w:val="single"/>
    </w:rPr>
  </w:style>
  <w:style w:type="character">
    <w:name w:val="rStyle3"/>
    <w:rPr>
      <w:rFonts w:ascii="TH SarabunIT๙" w:hAnsi="TH SarabunIT๙" w:eastAsia="TH SarabunIT๙" w:cs="TH SarabunIT๙"/>
      <w:sz w:val="24"/>
      <w:szCs w:val="24"/>
    </w:rPr>
  </w:style>
  <w:style w:type="character">
    <w:name w:val="rStyle4"/>
    <w:rPr>
      <w:rFonts w:ascii="TH SarabunIT๙" w:hAnsi="TH SarabunIT๙" w:eastAsia="TH SarabunIT๙" w:cs="TH SarabunIT๙"/>
      <w:sz w:val="28"/>
      <w:szCs w:val="28"/>
      <w:b w:val="1"/>
      <w:bCs w:val="1"/>
    </w:rPr>
  </w:style>
  <w:style w:type="character">
    <w:name w:val="rStyle5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character">
    <w:name w:val="rStyle6"/>
    <w:rPr>
      <w:rFonts w:ascii="TH SarabunIT๙" w:hAnsi="TH SarabunIT๙" w:eastAsia="TH SarabunIT๙" w:cs="TH SarabunIT๙"/>
      <w:sz w:val="28"/>
      <w:szCs w:val="28"/>
    </w:rPr>
  </w:style>
  <w:style w:type="paragraph" w:customStyle="1" w:styleId="pStyle">
    <w:name w:val="pStyle"/>
    <w:basedOn w:val="Normal"/>
    <w:pPr>
      <w:jc w:val="center"/>
      <w:spacing w:line="250" w:lineRule="auto"/>
    </w:pPr>
  </w:style>
  <w:style w:type="paragraph" w:customStyle="1" w:styleId="LeftStyle">
    <w:name w:val="LeftStyle"/>
    <w:basedOn w:val="Normal"/>
    <w:pPr>
      <w:jc w:val="left"/>
      <w:spacing w:line="300" w:lineRule="auto"/>
    </w:pPr>
  </w:style>
  <w:style w:type="paragraph" w:customStyle="1" w:styleId="LeftStyle0">
    <w:name w:val="LeftStyle0"/>
    <w:basedOn w:val="Normal"/>
    <w:pPr>
      <w:jc w:val="left"/>
      <w:spacing w:line="240" w:lineRule="auto"/>
    </w:pPr>
  </w:style>
  <w:style w:type="paragraph" w:customStyle="1" w:styleId="RightStyle">
    <w:name w:val="RightStyle"/>
    <w:basedOn w:val="Normal"/>
    <w:pPr>
      <w:jc w:val="right"/>
      <w:spacing w:after="0" w:line="250" w:lineRule="auto"/>
    </w:pPr>
  </w:style>
  <w:style w:type="paragraph" w:customStyle="1" w:styleId="pStyle1">
    <w:name w:val="pStyle1"/>
    <w:basedOn w:val="Normal"/>
    <w:pPr>
      <w:jc w:val="both"/>
      <w:spacing w:after="160" w:line="250" w:lineRule="auto"/>
    </w:pPr>
  </w:style>
  <w:style w:type="paragraph" w:customStyle="1" w:styleId="pStyle2">
    <w:name w:val="pStyle2"/>
    <w:basedOn w:val="Normal"/>
    <w:pPr>
      <w:jc w:val="both"/>
      <w:spacing w:after="0" w:line="250" w:lineRule="auto"/>
    </w:pPr>
  </w:style>
  <w:style w:type="paragraph" w:customStyle="1" w:styleId="pStyle3">
    <w:name w:val="pStyle3"/>
    <w:basedOn w:val="Normal"/>
    <w:pPr>
      <w:jc w:val="both"/>
      <w:spacing w:after="840" w:line="250" w:lineRule="auto"/>
    </w:pPr>
  </w:style>
  <w:style w:type="paragraph" w:customStyle="1" w:styleId="rightTab">
    <w:name w:val="rightTab"/>
    <w:basedOn w:val="Normal"/>
    <w:pPr>
      <w:tabs>
        <w:tab w:val="right" w:leader="none" w:pos="9000"/>
      </w:tabs>
    </w:pPr>
  </w:style>
  <w:style w:type="paragraph" w:styleId="Heading1">
    <w:link w:val="Heading1Char"/>
    <w:name w:val="heading 1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paragraph" w:styleId="Heading3">
    <w:link w:val="Heading3Char"/>
    <w:name w:val="heading 3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table" w:customStyle="1" w:styleId="Fancy Table">
    <w:name w:val="Fancy Table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  <w:style w:type="table" w:customStyle="1" w:styleId="Fancy Table Noborder">
    <w:name w:val="Fancy Table Noborder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0" w:color="000000"/>
        <w:left w:val="single" w:sz="0" w:color="000000"/>
        <w:right w:val="single" w:sz="0" w:color="000000"/>
        <w:bottom w:val="single" w:sz="0" w:color="000000"/>
        <w:insideH w:val="single" w:sz="0" w:color="000000"/>
        <w:insideV w:val="single" w:sz="0" w:color="000000"/>
      </w:tblBorders>
    </w:tblPr>
  </w:style>
  <w:style w:type="paragraph" w:customStyle="1" w:styleId="tCStyle">
    <w:name w:val="tCStyle"/>
    <w:basedOn w:val="Normal"/>
    <w:pPr>
      <w:jc w:val="center"/>
      <w:spacing w:after="6" w:line="300" w:lineRule="auto"/>
    </w:pPr>
  </w:style>
  <w:style w:type="paragraph" w:customStyle="1" w:styleId="tLeftStyle">
    <w:name w:val="tLeftStyle"/>
    <w:basedOn w:val="Normal"/>
    <w:pPr>
      <w:jc w:val="left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2026-10-12T23:47:27+07:00</dcterms:created>
  <dcterms:modified xsi:type="dcterms:W3CDTF">2026-10-12T23:47:27+07:00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